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14C750A5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9674B5">
              <w:rPr>
                <w:rFonts w:eastAsia="標楷體" w:hint="eastAsia"/>
                <w:kern w:val="0"/>
              </w:rPr>
              <w:t>9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D527AF">
              <w:rPr>
                <w:rFonts w:eastAsia="標楷體" w:hint="eastAsia"/>
                <w:kern w:val="0"/>
              </w:rPr>
              <w:t>21</w:t>
            </w:r>
            <w:bookmarkStart w:id="3" w:name="_GoBack"/>
            <w:bookmarkEnd w:id="3"/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508442B4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9674B5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21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4369897A" w14:textId="5DFE1125" w:rsidR="00105FCC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4C0759">
              <w:rPr>
                <w:rFonts w:ascii="標楷體" w:eastAsia="標楷體" w:hAnsi="標楷體"/>
                <w:kern w:val="0"/>
              </w:rPr>
              <w:t>技術名稱：</w:t>
            </w:r>
            <w:r w:rsidR="009674B5">
              <w:rPr>
                <w:rFonts w:ascii="Lucida Sans" w:eastAsia="標楷體" w:hAnsi="Lucida Sans" w:cs="Lucida Sans" w:hint="eastAsia"/>
              </w:rPr>
              <w:t>過氧化氫催化試劑</w:t>
            </w:r>
          </w:p>
          <w:p w14:paraId="42CBEA28" w14:textId="51479DF6" w:rsidR="006921D5" w:rsidRPr="004C0759" w:rsidRDefault="004C0759" w:rsidP="004C0759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4C0759">
              <w:rPr>
                <w:rFonts w:ascii="標楷體" w:eastAsia="標楷體" w:hAnsi="標楷體"/>
                <w:kern w:val="3"/>
              </w:rPr>
              <w:t>技術來源：</w:t>
            </w:r>
            <w:r w:rsidR="000D2E1C">
              <w:rPr>
                <w:rFonts w:ascii="標楷體" w:eastAsia="標楷體" w:hAnsi="標楷體" w:hint="eastAsia"/>
                <w:kern w:val="3"/>
              </w:rPr>
              <w:t>國科會</w:t>
            </w:r>
          </w:p>
          <w:p w14:paraId="512DDCB1" w14:textId="03C08E6A" w:rsidR="008A55C0" w:rsidRPr="00B903EA" w:rsidRDefault="00446C71" w:rsidP="00446C7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  <w:lang w:eastAsia="zh-HK"/>
              </w:rPr>
              <w:t>三、</w:t>
            </w:r>
            <w:r w:rsidR="00E536C6" w:rsidRPr="00446C7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382D17FC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9674B5">
              <w:rPr>
                <w:rFonts w:ascii="Lucida Sans" w:eastAsia="標楷體" w:hAnsi="Lucida Sans" w:cs="Lucida Sans" w:hint="eastAsia"/>
              </w:rPr>
              <w:t>過氧化氫</w:t>
            </w:r>
            <w:r w:rsidR="009674B5">
              <w:rPr>
                <w:rFonts w:ascii="Lucida Sans" w:eastAsia="標楷體" w:hAnsi="Lucida Sans" w:cs="Lucida Sans" w:hint="eastAsia"/>
              </w:rPr>
              <w:t>(</w:t>
            </w:r>
            <w:r w:rsidR="009674B5">
              <w:rPr>
                <w:rFonts w:ascii="Lucida Sans" w:eastAsia="標楷體" w:hAnsi="Lucida Sans" w:cs="Lucida Sans" w:hint="eastAsia"/>
              </w:rPr>
              <w:t>俗稱</w:t>
            </w:r>
            <w:r w:rsidR="009674B5">
              <w:rPr>
                <w:rFonts w:ascii="Lucida Sans" w:eastAsia="標楷體" w:hAnsi="Lucida Sans" w:cs="Lucida Sans" w:hint="eastAsia"/>
              </w:rPr>
              <w:t xml:space="preserve">: </w:t>
            </w:r>
            <w:r w:rsidR="009674B5">
              <w:rPr>
                <w:rFonts w:ascii="Lucida Sans" w:eastAsia="標楷體" w:hAnsi="Lucida Sans" w:cs="Lucida Sans" w:hint="eastAsia"/>
              </w:rPr>
              <w:t>雙氧水</w:t>
            </w:r>
            <w:r w:rsidR="009674B5">
              <w:rPr>
                <w:rFonts w:ascii="Lucida Sans" w:eastAsia="標楷體" w:hAnsi="Lucida Sans" w:cs="Lucida Sans" w:hint="eastAsia"/>
              </w:rPr>
              <w:t>)</w:t>
            </w:r>
            <w:r w:rsidR="009674B5">
              <w:rPr>
                <w:rFonts w:ascii="Lucida Sans" w:eastAsia="標楷體" w:hAnsi="Lucida Sans" w:cs="Lucida Sans" w:hint="eastAsia"/>
              </w:rPr>
              <w:t>為常用之氧化劑，當其與溶解態二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價鐵離子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反應，可生成反應性更強之自由基氧化劑</w:t>
            </w:r>
            <w:r w:rsidR="009674B5">
              <w:rPr>
                <w:rFonts w:ascii="Lucida Sans" w:eastAsia="標楷體" w:hAnsi="Lucida Sans" w:cs="Lucida Sans" w:hint="eastAsia"/>
              </w:rPr>
              <w:t>(</w:t>
            </w:r>
            <w:r w:rsidR="009674B5">
              <w:rPr>
                <w:rFonts w:ascii="Lucida Sans" w:eastAsia="標楷體" w:hAnsi="Lucida Sans" w:cs="Lucida Sans" w:hint="eastAsia"/>
              </w:rPr>
              <w:t>例如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氫氧跟自由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基</w:t>
            </w:r>
            <w:r w:rsidR="009674B5">
              <w:rPr>
                <w:rFonts w:ascii="Lucida Sans" w:eastAsia="標楷體" w:hAnsi="Lucida Sans" w:cs="Lucida Sans" w:hint="eastAsia"/>
              </w:rPr>
              <w:t>)</w:t>
            </w:r>
            <w:r w:rsidR="009674B5">
              <w:rPr>
                <w:rFonts w:ascii="Lucida Sans" w:eastAsia="標楷體" w:hAnsi="Lucida Sans" w:cs="Lucida Sans" w:hint="eastAsia"/>
              </w:rPr>
              <w:t>，此反應稱為</w:t>
            </w:r>
            <w:r w:rsidR="009674B5">
              <w:rPr>
                <w:rFonts w:ascii="Lucida Sans" w:eastAsia="標楷體" w:hAnsi="Lucida Sans" w:cs="Lucida Sans" w:hint="eastAsia"/>
              </w:rPr>
              <w:t>F</w:t>
            </w:r>
            <w:r w:rsidR="009674B5">
              <w:rPr>
                <w:rFonts w:ascii="Lucida Sans" w:eastAsia="標楷體" w:hAnsi="Lucida Sans" w:cs="Lucida Sans"/>
              </w:rPr>
              <w:t>enton</w:t>
            </w:r>
            <w:r w:rsidR="009674B5">
              <w:rPr>
                <w:rFonts w:ascii="Lucida Sans" w:eastAsia="標楷體" w:hAnsi="Lucida Sans" w:cs="Lucida Sans" w:hint="eastAsia"/>
              </w:rPr>
              <w:t>反應。因此二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價鐵催化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過氧化氫反應廣泛被應用在環境污染整治，然而此程序之應用仍受限於二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價鐵反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應後被氧化成三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而失去催化反應性，並且三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價鐵亦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可能會形成氧化鐵沉澱物。一項有效控制水相中二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價鐵之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催化反應性之試劑及配方，為本項技術之重點技術。藉由此催化劑應用，配合過氧化氫所產生之氧化反應，可以用以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破壞降解有機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污染物，本技術之催化劑於反應過程中可有效控制二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之循環使用，避免三</w:t>
            </w:r>
            <w:proofErr w:type="gramStart"/>
            <w:r w:rsidR="009674B5">
              <w:rPr>
                <w:rFonts w:ascii="Lucida Sans" w:eastAsia="標楷體" w:hAnsi="Lucida Sans" w:cs="Lucida Sans" w:hint="eastAsia"/>
              </w:rPr>
              <w:t>價鐵</w:t>
            </w:r>
            <w:proofErr w:type="gramEnd"/>
            <w:r w:rsidR="009674B5">
              <w:rPr>
                <w:rFonts w:ascii="Lucida Sans" w:eastAsia="標楷體" w:hAnsi="Lucida Sans" w:cs="Lucida Sans" w:hint="eastAsia"/>
              </w:rPr>
              <w:t>之沉澱生成，提升過氧化氫之反應性，且反應後不會衍生二次污染之生成，為一環境友善試劑</w:t>
            </w:r>
          </w:p>
        </w:tc>
      </w:tr>
      <w:tr w:rsidR="008A55C0" w:rsidRPr="00162600" w14:paraId="20F2CFB2" w14:textId="77777777" w:rsidTr="00DB76BF">
        <w:trPr>
          <w:trHeight w:val="6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59CDC795" w:rsidR="008A55C0" w:rsidRPr="00162600" w:rsidRDefault="00B903EA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r w:rsidR="009674B5">
              <w:rPr>
                <w:rFonts w:eastAsia="標楷體" w:hint="eastAsia"/>
                <w:kern w:val="3"/>
              </w:rPr>
              <w:t>環工</w:t>
            </w:r>
            <w:r w:rsidR="00B03160">
              <w:rPr>
                <w:rFonts w:eastAsia="標楷體" w:hint="eastAsia"/>
                <w:kern w:val="3"/>
              </w:rPr>
              <w:t>系</w:t>
            </w:r>
          </w:p>
          <w:p w14:paraId="5D18F16D" w14:textId="04BFA2FE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674B5">
              <w:rPr>
                <w:rFonts w:ascii="Lucida Sans" w:eastAsia="標楷體" w:hAnsi="Lucida Sans" w:cs="Lucida Sans" w:hint="eastAsia"/>
              </w:rPr>
              <w:t>梁振儒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DB76BF">
        <w:trPr>
          <w:trHeight w:val="16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84748B8" w:rsidR="008A55C0" w:rsidRPr="00162600" w:rsidRDefault="00B903EA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D1A5994" w14:textId="2B83C1C1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廠商業別：</w:t>
            </w:r>
            <w:r w:rsidR="009674B5">
              <w:rPr>
                <w:rFonts w:eastAsia="標楷體" w:hint="eastAsia"/>
                <w:kern w:val="0"/>
              </w:rPr>
              <w:t>工程顧問業、檢測分析業等。</w:t>
            </w:r>
          </w:p>
          <w:p w14:paraId="76EB8177" w14:textId="42547B6F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應具備之專門技術：</w:t>
            </w:r>
            <w:r w:rsidR="009674B5">
              <w:rPr>
                <w:rFonts w:eastAsia="標楷體" w:hint="eastAsia"/>
                <w:kern w:val="0"/>
              </w:rPr>
              <w:t>檢測分析、環境污染控制工程技術等。</w:t>
            </w:r>
          </w:p>
          <w:p w14:paraId="43D2B86D" w14:textId="75328711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應有之機具設備：</w:t>
            </w:r>
            <w:r w:rsidR="009674B5">
              <w:rPr>
                <w:rFonts w:eastAsia="標楷體" w:hint="eastAsia"/>
                <w:kern w:val="0"/>
              </w:rPr>
              <w:t>藥劑調配設備、運輸設備等。</w:t>
            </w:r>
          </w:p>
          <w:p w14:paraId="05FA13BB" w14:textId="72F6405B" w:rsidR="00B03160" w:rsidRPr="00B03160" w:rsidRDefault="00B03160" w:rsidP="00B03160">
            <w:pPr>
              <w:pStyle w:val="a8"/>
              <w:numPr>
                <w:ilvl w:val="0"/>
                <w:numId w:val="3"/>
              </w:numPr>
              <w:spacing w:line="280" w:lineRule="exact"/>
              <w:ind w:leftChars="0"/>
              <w:rPr>
                <w:rFonts w:eastAsia="標楷體"/>
                <w:kern w:val="0"/>
              </w:rPr>
            </w:pPr>
            <w:r w:rsidRPr="00B03160">
              <w:rPr>
                <w:rFonts w:eastAsia="標楷體"/>
                <w:kern w:val="0"/>
              </w:rPr>
              <w:t>應有之研究或技術人員人數：</w:t>
            </w:r>
            <w:r w:rsidR="009674B5">
              <w:rPr>
                <w:rFonts w:eastAsia="標楷體" w:hint="eastAsia"/>
                <w:kern w:val="0"/>
              </w:rPr>
              <w:t>具備化學、環境工程等專業技術人員數名。</w:t>
            </w:r>
          </w:p>
          <w:p w14:paraId="57AB0CAC" w14:textId="77777777" w:rsidR="008A55C0" w:rsidRPr="009674B5" w:rsidRDefault="00B03160" w:rsidP="00B03160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B03160">
              <w:rPr>
                <w:rFonts w:eastAsia="標楷體"/>
                <w:kern w:val="0"/>
              </w:rPr>
              <w:t>其他：</w:t>
            </w:r>
            <w:r w:rsidR="009674B5">
              <w:rPr>
                <w:rFonts w:eastAsia="標楷體" w:hint="eastAsia"/>
                <w:kern w:val="0"/>
              </w:rPr>
              <w:t>行銷策略規劃等。</w:t>
            </w:r>
          </w:p>
          <w:p w14:paraId="07C8D2D1" w14:textId="77777777" w:rsidR="009674B5" w:rsidRDefault="009674B5" w:rsidP="009674B5">
            <w:pPr>
              <w:pStyle w:val="a8"/>
              <w:numPr>
                <w:ilvl w:val="0"/>
                <w:numId w:val="3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9674B5">
              <w:rPr>
                <w:rFonts w:eastAsia="標楷體" w:hint="eastAsia"/>
                <w:kern w:val="0"/>
              </w:rPr>
              <w:t>實施限制</w:t>
            </w:r>
            <w:r w:rsidRPr="00B03160">
              <w:rPr>
                <w:rFonts w:eastAsia="標楷體"/>
                <w:kern w:val="0"/>
              </w:rPr>
              <w:t>：</w:t>
            </w:r>
          </w:p>
          <w:p w14:paraId="57DA011E" w14:textId="3395757C" w:rsidR="009674B5" w:rsidRPr="009674B5" w:rsidRDefault="009674B5" w:rsidP="009674B5">
            <w:pPr>
              <w:pStyle w:val="a8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eastAsia="標楷體"/>
                <w:kern w:val="0"/>
              </w:rPr>
            </w:pPr>
            <w:r w:rsidRPr="009674B5">
              <w:rPr>
                <w:rFonts w:eastAsia="標楷體" w:hint="eastAsia"/>
                <w:kern w:val="0"/>
              </w:rPr>
              <w:t>需搭配環境條件及適切之工程設計進行工程施作，以達到污染整治之目的。</w:t>
            </w:r>
          </w:p>
          <w:p w14:paraId="52A756E1" w14:textId="6169D176" w:rsidR="009674B5" w:rsidRPr="00B03160" w:rsidRDefault="009674B5" w:rsidP="009674B5">
            <w:pPr>
              <w:pStyle w:val="a8"/>
              <w:numPr>
                <w:ilvl w:val="0"/>
                <w:numId w:val="7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9674B5">
              <w:rPr>
                <w:rFonts w:eastAsia="標楷體" w:hint="eastAsia"/>
                <w:kern w:val="0"/>
              </w:rPr>
              <w:t>需要進行實驗室測試進行過氧化氫與催化劑劑量調整，與所欲破壞之有機物物質種類進行評估，以達到有效之應用。</w:t>
            </w:r>
          </w:p>
        </w:tc>
      </w:tr>
      <w:tr w:rsidR="00DB76BF" w:rsidRPr="00162600" w14:paraId="40FF1D8B" w14:textId="77777777" w:rsidTr="00DB76BF">
        <w:trPr>
          <w:trHeight w:val="78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8B37" w14:textId="3D0FAFE8" w:rsidR="009674B5" w:rsidRPr="009674B5" w:rsidRDefault="00B903EA" w:rsidP="009674B5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9674B5" w:rsidRPr="00162600">
              <w:rPr>
                <w:rFonts w:eastAsia="標楷體"/>
                <w:kern w:val="0"/>
              </w:rPr>
              <w:t>：</w:t>
            </w:r>
          </w:p>
          <w:p w14:paraId="57B16D05" w14:textId="6723A7C0" w:rsidR="009674B5" w:rsidRDefault="009674B5" w:rsidP="009674B5">
            <w:pPr>
              <w:numPr>
                <w:ilvl w:val="0"/>
                <w:numId w:val="5"/>
              </w:num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此催化劑配方劑量可提升過氧化氫之化學氧化反應性。</w:t>
            </w:r>
          </w:p>
          <w:p w14:paraId="4CB04889" w14:textId="77777777" w:rsidR="009674B5" w:rsidRDefault="009674B5" w:rsidP="009674B5">
            <w:pPr>
              <w:numPr>
                <w:ilvl w:val="0"/>
                <w:numId w:val="5"/>
              </w:num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反應過程可確保催化之反應性。</w:t>
            </w:r>
          </w:p>
          <w:p w14:paraId="21DB82F1" w14:textId="77777777" w:rsidR="009674B5" w:rsidRDefault="009674B5" w:rsidP="009674B5">
            <w:pPr>
              <w:numPr>
                <w:ilvl w:val="0"/>
                <w:numId w:val="5"/>
              </w:num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反應過程不會產生沉澱物。</w:t>
            </w:r>
          </w:p>
          <w:p w14:paraId="29E72AB3" w14:textId="77777777" w:rsidR="009674B5" w:rsidRDefault="009674B5" w:rsidP="009674B5">
            <w:pPr>
              <w:numPr>
                <w:ilvl w:val="0"/>
                <w:numId w:val="5"/>
              </w:num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反應試劑為一環境友善試劑，不會造成環境之二次污染。</w:t>
            </w:r>
          </w:p>
          <w:p w14:paraId="7DE478E6" w14:textId="245DEA99" w:rsidR="00DB76BF" w:rsidRPr="009674B5" w:rsidRDefault="009674B5" w:rsidP="009674B5">
            <w:pPr>
              <w:numPr>
                <w:ilvl w:val="0"/>
                <w:numId w:val="5"/>
              </w:numPr>
              <w:spacing w:line="280" w:lineRule="exact"/>
              <w:rPr>
                <w:rFonts w:eastAsia="標楷體"/>
                <w:noProof/>
              </w:rPr>
            </w:pPr>
            <w:r w:rsidRPr="009674B5">
              <w:rPr>
                <w:rFonts w:eastAsia="標楷體" w:hint="eastAsia"/>
                <w:noProof/>
              </w:rPr>
              <w:t>可應用於環境有機污染之污染整治復育。</w:t>
            </w:r>
          </w:p>
        </w:tc>
      </w:tr>
      <w:tr w:rsidR="008A55C0" w:rsidRPr="00162600" w14:paraId="7B1721F2" w14:textId="77777777" w:rsidTr="00B903EA">
        <w:trPr>
          <w:trHeight w:val="9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BB0F" w14:textId="77777777" w:rsidR="009674B5" w:rsidRDefault="00B903EA" w:rsidP="009674B5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14:paraId="4CA948A4" w14:textId="62E6B45A" w:rsidR="009674B5" w:rsidRDefault="009674B5" w:rsidP="009674B5">
            <w:pPr>
              <w:numPr>
                <w:ilvl w:val="0"/>
                <w:numId w:val="6"/>
              </w:num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化學產品調配、分裝、運送。</w:t>
            </w:r>
          </w:p>
          <w:p w14:paraId="7ABDEFCC" w14:textId="77777777" w:rsidR="009674B5" w:rsidRDefault="009674B5" w:rsidP="009674B5">
            <w:pPr>
              <w:numPr>
                <w:ilvl w:val="0"/>
                <w:numId w:val="6"/>
              </w:num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廢水處理。</w:t>
            </w:r>
          </w:p>
          <w:p w14:paraId="161D3F6E" w14:textId="2E0B18AA" w:rsidR="00AA6155" w:rsidRPr="009674B5" w:rsidRDefault="009674B5" w:rsidP="009674B5">
            <w:pPr>
              <w:numPr>
                <w:ilvl w:val="0"/>
                <w:numId w:val="6"/>
              </w:numPr>
              <w:spacing w:line="280" w:lineRule="exact"/>
              <w:rPr>
                <w:rFonts w:eastAsia="標楷體"/>
                <w:kern w:val="0"/>
              </w:rPr>
            </w:pPr>
            <w:r w:rsidRPr="009674B5">
              <w:rPr>
                <w:rFonts w:eastAsia="標楷體" w:hint="eastAsia"/>
                <w:kern w:val="0"/>
              </w:rPr>
              <w:t>土壤及地下水污染整治。</w:t>
            </w:r>
          </w:p>
        </w:tc>
      </w:tr>
      <w:tr w:rsidR="008A55C0" w:rsidRPr="00162600" w14:paraId="50A70C86" w14:textId="77777777" w:rsidTr="00B903EA">
        <w:trPr>
          <w:trHeight w:val="182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5BA3F4B2" w:rsidR="008A55C0" w:rsidRPr="00162600" w:rsidRDefault="00B903EA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B903EA">
        <w:trPr>
          <w:trHeight w:val="33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4DFEFB7" w:rsidR="008A55C0" w:rsidRPr="00162600" w:rsidRDefault="00B903E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proofErr w:type="gramStart"/>
            <w:r w:rsidR="00797B84">
              <w:rPr>
                <w:rFonts w:eastAsia="標楷體" w:hint="eastAsia"/>
                <w:kern w:val="0"/>
              </w:rPr>
              <w:t>臺</w:t>
            </w:r>
            <w:proofErr w:type="gramEnd"/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B1257"/>
    <w:multiLevelType w:val="hybridMultilevel"/>
    <w:tmpl w:val="2DB255AC"/>
    <w:lvl w:ilvl="0" w:tplc="04090001">
      <w:start w:val="1"/>
      <w:numFmt w:val="bullet"/>
      <w:lvlText w:val=""/>
      <w:lvlJc w:val="left"/>
      <w:pPr>
        <w:ind w:left="11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2" w:hanging="480"/>
      </w:pPr>
      <w:rPr>
        <w:rFonts w:ascii="Wingdings" w:hAnsi="Wingdings" w:hint="default"/>
      </w:rPr>
    </w:lvl>
  </w:abstractNum>
  <w:abstractNum w:abstractNumId="3" w15:restartNumberingAfterBreak="0">
    <w:nsid w:val="46BC59BE"/>
    <w:multiLevelType w:val="hybridMultilevel"/>
    <w:tmpl w:val="0B58B0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9944A91"/>
    <w:multiLevelType w:val="hybridMultilevel"/>
    <w:tmpl w:val="BA9C8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6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D2E1C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924AB"/>
    <w:rsid w:val="0033003D"/>
    <w:rsid w:val="003A7ECA"/>
    <w:rsid w:val="00446C71"/>
    <w:rsid w:val="00446F89"/>
    <w:rsid w:val="004C0759"/>
    <w:rsid w:val="005123AB"/>
    <w:rsid w:val="00542CD6"/>
    <w:rsid w:val="00657272"/>
    <w:rsid w:val="00680832"/>
    <w:rsid w:val="006921D5"/>
    <w:rsid w:val="006F0F71"/>
    <w:rsid w:val="00756722"/>
    <w:rsid w:val="00797B84"/>
    <w:rsid w:val="007D4799"/>
    <w:rsid w:val="0081384F"/>
    <w:rsid w:val="00897DCA"/>
    <w:rsid w:val="008A55C0"/>
    <w:rsid w:val="008C7EAD"/>
    <w:rsid w:val="009314C7"/>
    <w:rsid w:val="00936834"/>
    <w:rsid w:val="00963525"/>
    <w:rsid w:val="009674B5"/>
    <w:rsid w:val="00A454B4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527AF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3833"/>
    <w:rsid w:val="00E536C6"/>
    <w:rsid w:val="00EB039E"/>
    <w:rsid w:val="00EB3B26"/>
    <w:rsid w:val="00ED300F"/>
    <w:rsid w:val="00F0734D"/>
    <w:rsid w:val="00F302B7"/>
    <w:rsid w:val="00F674D0"/>
    <w:rsid w:val="00F83203"/>
    <w:rsid w:val="00F93B6D"/>
    <w:rsid w:val="00FC68B1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cp:lastPrinted>2022-07-05T06:30:00Z</cp:lastPrinted>
  <dcterms:created xsi:type="dcterms:W3CDTF">2022-09-19T08:04:00Z</dcterms:created>
  <dcterms:modified xsi:type="dcterms:W3CDTF">2022-09-21T07:09:00Z</dcterms:modified>
</cp:coreProperties>
</file>