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E55ED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2E2CB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公告日期：</w:t>
            </w:r>
            <w:r w:rsidR="00312168" w:rsidRPr="000E55ED">
              <w:rPr>
                <w:rFonts w:ascii="標楷體" w:eastAsia="標楷體" w:hAnsi="標楷體" w:cs="Lucida Sans"/>
                <w:kern w:val="0"/>
              </w:rPr>
              <w:t>1</w:t>
            </w:r>
            <w:r w:rsidR="005B0EE4">
              <w:rPr>
                <w:rFonts w:ascii="標楷體" w:eastAsia="標楷體" w:hAnsi="標楷體" w:cs="Lucida Sans" w:hint="eastAsia"/>
                <w:kern w:val="0"/>
              </w:rPr>
              <w:t>10/</w:t>
            </w:r>
            <w:r w:rsidR="00D15581">
              <w:rPr>
                <w:rFonts w:ascii="標楷體" w:eastAsia="標楷體" w:hAnsi="標楷體" w:cs="Lucida Sans"/>
                <w:kern w:val="0"/>
              </w:rPr>
              <w:t>11</w:t>
            </w:r>
            <w:r w:rsidR="005C6607" w:rsidRPr="000E55ED">
              <w:rPr>
                <w:rFonts w:ascii="標楷體" w:eastAsia="標楷體" w:hAnsi="標楷體" w:cs="Lucida Sans" w:hint="eastAsia"/>
                <w:kern w:val="0"/>
              </w:rPr>
              <w:t>/</w:t>
            </w:r>
            <w:r w:rsidR="00D15581">
              <w:rPr>
                <w:rFonts w:ascii="標楷體" w:eastAsia="標楷體" w:hAnsi="標楷體" w:cs="Lucida Sans"/>
                <w:kern w:val="0"/>
              </w:rPr>
              <w:t>25</w:t>
            </w:r>
          </w:p>
        </w:tc>
      </w:tr>
      <w:tr w:rsidR="008A55C0" w:rsidRPr="000E55ED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公告編號：</w:t>
            </w:r>
            <w:r w:rsidR="00312168"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1</w:t>
            </w:r>
            <w:r w:rsidR="00312168" w:rsidRPr="000E55ED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10</w:t>
            </w:r>
            <w:r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-0</w:t>
            </w:r>
            <w:r w:rsidR="00B06260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3</w:t>
            </w:r>
            <w:r w:rsidR="00D15581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</w:p>
        </w:tc>
      </w:tr>
      <w:tr w:rsidR="008A55C0" w:rsidRPr="000E55ED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0E55ED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內容：國立中興大學技術移轉遴選廠商公告</w:t>
            </w:r>
          </w:p>
          <w:p w:rsidR="00105FCC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0E55ED">
              <w:rPr>
                <w:rFonts w:ascii="標楷體" w:eastAsia="標楷體" w:hAnsi="標楷體"/>
                <w:kern w:val="0"/>
              </w:rPr>
              <w:t>技術名稱：</w:t>
            </w:r>
            <w:r w:rsidR="00D15581">
              <w:rPr>
                <w:rFonts w:ascii="Lucida Sans" w:eastAsia="標楷體" w:hAnsi="Lucida Sans" w:cs="Lucida Sans" w:hint="eastAsia"/>
              </w:rPr>
              <w:t>强生米</w:t>
            </w:r>
            <w:r w:rsidR="00D15581">
              <w:rPr>
                <w:rFonts w:ascii="Lucida Sans" w:eastAsia="標楷體" w:hAnsi="Lucida Sans" w:cs="Lucida Sans" w:hint="eastAsia"/>
              </w:rPr>
              <w:t>3</w:t>
            </w:r>
            <w:r w:rsidR="00D15581">
              <w:rPr>
                <w:rFonts w:ascii="Lucida Sans" w:eastAsia="標楷體" w:hAnsi="Lucida Sans" w:cs="Lucida Sans" w:hint="eastAsia"/>
              </w:rPr>
              <w:t>號</w:t>
            </w:r>
          </w:p>
          <w:p w:rsidR="001E6524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0E55ED"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技術來源：</w:t>
            </w:r>
            <w:r w:rsidR="00D15581">
              <w:rPr>
                <w:rFonts w:ascii="標楷體" w:eastAsia="標楷體" w:hAnsi="標楷體" w:hint="eastAsia"/>
                <w:kern w:val="3"/>
              </w:rPr>
              <w:t>農委會</w:t>
            </w:r>
          </w:p>
          <w:p w:rsidR="00061431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D15581">
              <w:rPr>
                <w:rFonts w:ascii="標楷體" w:eastAsia="標楷體" w:hAnsi="標楷體" w:hint="eastAsia"/>
                <w:kern w:val="3"/>
              </w:rPr>
              <w:t>植物品種權公開號</w:t>
            </w: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：</w:t>
            </w:r>
            <w:r w:rsidR="00D15581" w:rsidRPr="00D15581">
              <w:rPr>
                <w:rFonts w:ascii="標楷體" w:eastAsia="標楷體" w:hAnsi="標楷體"/>
                <w:kern w:val="3"/>
                <w:lang w:eastAsia="zh-HK"/>
              </w:rPr>
              <w:t>2777</w:t>
            </w:r>
            <w:r w:rsidR="00D15581">
              <w:rPr>
                <w:rFonts w:ascii="標楷體" w:eastAsia="標楷體" w:hAnsi="標楷體" w:hint="eastAsia"/>
                <w:kern w:val="3"/>
              </w:rPr>
              <w:t>號</w:t>
            </w:r>
          </w:p>
          <w:p w:rsidR="008A55C0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四</w:t>
            </w:r>
            <w:r w:rsidR="005C6607" w:rsidRPr="000E55ED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0E55ED" w:rsidRDefault="008A55C0" w:rsidP="00C30F8B">
            <w:pPr>
              <w:autoSpaceDN w:val="0"/>
              <w:spacing w:line="276" w:lineRule="auto"/>
              <w:rPr>
                <w:rFonts w:ascii="標楷體" w:eastAsia="標楷體" w:hAnsi="標楷體" w:cs="Lucida Sans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3"/>
              </w:rPr>
              <w:t xml:space="preserve">    </w:t>
            </w:r>
            <w:r w:rsidR="00D15581" w:rsidRPr="00D15581">
              <w:rPr>
                <w:rFonts w:ascii="標楷體" w:eastAsia="標楷體" w:hAnsi="標楷體" w:hint="eastAsia"/>
              </w:rPr>
              <w:t>稉稻品種强生米</w:t>
            </w:r>
            <w:r w:rsidR="00D15581" w:rsidRPr="00D15581">
              <w:rPr>
                <w:rFonts w:ascii="標楷體" w:eastAsia="標楷體" w:hAnsi="標楷體"/>
              </w:rPr>
              <w:t>3</w:t>
            </w:r>
            <w:r w:rsidR="00D15581" w:rsidRPr="00D15581">
              <w:rPr>
                <w:rFonts w:ascii="標楷體" w:eastAsia="標楷體" w:hAnsi="標楷體" w:hint="eastAsia"/>
              </w:rPr>
              <w:t>號為目前已知台灣國內升糖指數最低的蓬萊米，其白米食用後澱粉轉化成葡萄糖量較低，其升糖值約</w:t>
            </w:r>
            <w:r w:rsidR="00D15581" w:rsidRPr="00D15581">
              <w:rPr>
                <w:rFonts w:ascii="標楷體" w:eastAsia="標楷體" w:hAnsi="標楷體"/>
              </w:rPr>
              <w:t>55</w:t>
            </w:r>
            <w:r w:rsidR="00D15581" w:rsidRPr="00D15581">
              <w:rPr>
                <w:rFonts w:ascii="標楷體" w:eastAsia="標楷體" w:hAnsi="標楷體" w:hint="eastAsia"/>
              </w:rPr>
              <w:t>，已達低升糖指數之標準，其主要機制是白米含高含量</w:t>
            </w:r>
            <w:r w:rsidR="00D15581" w:rsidRPr="00D15581">
              <w:rPr>
                <w:rFonts w:ascii="標楷體" w:eastAsia="標楷體" w:hAnsi="標楷體"/>
              </w:rPr>
              <w:t>(&gt; 4 %)</w:t>
            </w:r>
            <w:r w:rsidR="00D15581" w:rsidRPr="00D15581">
              <w:rPr>
                <w:rFonts w:ascii="標楷體" w:eastAsia="標楷體" w:hAnsi="標楷體" w:hint="eastAsia"/>
              </w:rPr>
              <w:t>的抗性澱粉</w:t>
            </w:r>
            <w:r w:rsidR="00D15581" w:rsidRPr="00D15581">
              <w:rPr>
                <w:rFonts w:ascii="標楷體" w:eastAsia="標楷體" w:hAnsi="標楷體"/>
              </w:rPr>
              <w:t>(Resistant starch, RS)</w:t>
            </w:r>
            <w:r w:rsidR="00D15581" w:rsidRPr="00D15581">
              <w:rPr>
                <w:rFonts w:ascii="標楷體" w:eastAsia="標楷體" w:hAnsi="標楷體" w:hint="eastAsia"/>
              </w:rPr>
              <w:t>，顯著較市售米，如台稉</w:t>
            </w:r>
            <w:r w:rsidR="00D15581" w:rsidRPr="00D15581">
              <w:rPr>
                <w:rFonts w:ascii="標楷體" w:eastAsia="標楷體" w:hAnsi="標楷體"/>
              </w:rPr>
              <w:t>9</w:t>
            </w:r>
            <w:r w:rsidR="00D15581" w:rsidRPr="00D15581">
              <w:rPr>
                <w:rFonts w:ascii="標楷體" w:eastAsia="標楷體" w:hAnsi="標楷體" w:hint="eastAsia"/>
              </w:rPr>
              <w:t>號、台南</w:t>
            </w:r>
            <w:r w:rsidR="00D15581" w:rsidRPr="00D15581">
              <w:rPr>
                <w:rFonts w:ascii="標楷體" w:eastAsia="標楷體" w:hAnsi="標楷體"/>
              </w:rPr>
              <w:t>11</w:t>
            </w:r>
            <w:r w:rsidR="00D15581" w:rsidRPr="00D15581">
              <w:rPr>
                <w:rFonts w:ascii="標楷體" w:eastAsia="標楷體" w:hAnsi="標楷體" w:hint="eastAsia"/>
              </w:rPr>
              <w:t>號及台農</w:t>
            </w:r>
            <w:r w:rsidR="00D15581" w:rsidRPr="00D15581">
              <w:rPr>
                <w:rFonts w:ascii="標楷體" w:eastAsia="標楷體" w:hAnsi="標楷體"/>
              </w:rPr>
              <w:t>67</w:t>
            </w:r>
            <w:r w:rsidR="00D15581" w:rsidRPr="00D15581">
              <w:rPr>
                <w:rFonts w:ascii="標楷體" w:eastAsia="標楷體" w:hAnsi="標楷體" w:hint="eastAsia"/>
              </w:rPr>
              <w:t>號等之抗性澱粉</w:t>
            </w:r>
            <w:r w:rsidR="00D15581" w:rsidRPr="00D15581">
              <w:rPr>
                <w:rFonts w:ascii="標楷體" w:eastAsia="標楷體" w:hAnsi="標楷體"/>
              </w:rPr>
              <w:t xml:space="preserve">(0.6~0.8%) </w:t>
            </w:r>
            <w:r w:rsidR="00D15581" w:rsidRPr="00D15581">
              <w:rPr>
                <w:rFonts w:ascii="標楷體" w:eastAsia="標楷體" w:hAnsi="標楷體" w:hint="eastAsia"/>
              </w:rPr>
              <w:t>高約</w:t>
            </w:r>
            <w:r w:rsidR="00D15581" w:rsidRPr="00D15581">
              <w:rPr>
                <w:rFonts w:ascii="標楷體" w:eastAsia="標楷體" w:hAnsi="標楷體"/>
              </w:rPr>
              <w:t>6</w:t>
            </w:r>
            <w:r w:rsidR="00D15581" w:rsidRPr="00D15581">
              <w:rPr>
                <w:rFonts w:ascii="標楷體" w:eastAsia="標楷體" w:hAnsi="標楷體" w:hint="eastAsia"/>
              </w:rPr>
              <w:t>至</w:t>
            </w:r>
            <w:r w:rsidR="00D15581" w:rsidRPr="00D15581">
              <w:rPr>
                <w:rFonts w:ascii="標楷體" w:eastAsia="標楷體" w:hAnsi="標楷體"/>
              </w:rPr>
              <w:t>7</w:t>
            </w:r>
            <w:r w:rsidR="00D15581" w:rsidRPr="00D15581">
              <w:rPr>
                <w:rFonts w:ascii="標楷體" w:eastAsia="標楷體" w:hAnsi="標楷體" w:hint="eastAsia"/>
              </w:rPr>
              <w:t>倍，為强生米</w:t>
            </w:r>
            <w:r w:rsidR="00D15581" w:rsidRPr="00D15581">
              <w:rPr>
                <w:rFonts w:ascii="標楷體" w:eastAsia="標楷體" w:hAnsi="標楷體"/>
              </w:rPr>
              <w:t>3</w:t>
            </w:r>
            <w:r w:rsidR="00D15581" w:rsidRPr="00D15581">
              <w:rPr>
                <w:rFonts w:ascii="標楷體" w:eastAsia="標楷體" w:hAnsi="標楷體" w:hint="eastAsia"/>
              </w:rPr>
              <w:t>號煮成白米飯，食用後澱粉轉化成葡萄糖量較低之理論依據，為具商業化潛力之低升糖米品種。</w:t>
            </w:r>
          </w:p>
        </w:tc>
      </w:tr>
      <w:tr w:rsidR="008A55C0" w:rsidRPr="000E55ED" w:rsidTr="00605662">
        <w:trPr>
          <w:trHeight w:val="7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五</w:t>
            </w:r>
            <w:r w:rsidR="008A55C0" w:rsidRPr="000E55ED">
              <w:rPr>
                <w:rFonts w:ascii="標楷體" w:eastAsia="標楷體" w:hAnsi="標楷體"/>
                <w:kern w:val="0"/>
              </w:rPr>
              <w:t>、</w:t>
            </w:r>
            <w:r w:rsidR="008A55C0" w:rsidRPr="000E55ED">
              <w:rPr>
                <w:rFonts w:ascii="標楷體" w:eastAsia="標楷體" w:hAnsi="標楷體"/>
                <w:kern w:val="3"/>
              </w:rPr>
              <w:t>計畫執行機關∕系所：</w:t>
            </w:r>
            <w:r w:rsidR="004C49FD" w:rsidRPr="004C49FD">
              <w:rPr>
                <w:rFonts w:ascii="標楷體" w:eastAsia="標楷體" w:hAnsi="標楷體" w:cs="Lucida Sans" w:hint="eastAsia"/>
              </w:rPr>
              <w:t>農藝學系</w:t>
            </w:r>
          </w:p>
          <w:p w:rsidR="008A55C0" w:rsidRPr="000E55ED" w:rsidRDefault="008A55C0" w:rsidP="00061431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3"/>
              </w:rPr>
              <w:t xml:space="preserve">   </w:t>
            </w:r>
            <w:r w:rsidRPr="000E55ED"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0E55ED">
              <w:rPr>
                <w:rFonts w:ascii="標楷體" w:eastAsia="標楷體" w:hAnsi="標楷體"/>
                <w:kern w:val="3"/>
              </w:rPr>
              <w:t>技術發明人：</w:t>
            </w:r>
            <w:r w:rsidR="004C49FD" w:rsidRPr="004C49FD">
              <w:rPr>
                <w:rFonts w:ascii="標楷體" w:eastAsia="標楷體" w:hAnsi="標楷體" w:cs="Lucida Sans" w:hint="eastAsia"/>
                <w:kern w:val="3"/>
              </w:rPr>
              <w:t>王強生</w:t>
            </w:r>
            <w:r w:rsidR="000E55ED" w:rsidRPr="000E55ED">
              <w:rPr>
                <w:rFonts w:ascii="標楷體" w:eastAsia="標楷體" w:hAnsi="標楷體" w:cs="Lucida Sans" w:hint="eastAsia"/>
                <w:kern w:val="3"/>
              </w:rPr>
              <w:t>教授</w:t>
            </w:r>
          </w:p>
        </w:tc>
      </w:tr>
      <w:tr w:rsidR="008A55C0" w:rsidRPr="000E55ED" w:rsidTr="00605662">
        <w:trPr>
          <w:trHeight w:val="164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六</w:t>
            </w:r>
            <w:r w:rsidR="008A55C0" w:rsidRPr="000E55ED">
              <w:rPr>
                <w:rFonts w:ascii="標楷體" w:eastAsia="標楷體" w:hAnsi="標楷體"/>
                <w:kern w:val="0"/>
              </w:rPr>
              <w:t>、廠商資格：</w:t>
            </w:r>
          </w:p>
          <w:p w:rsidR="004C49FD" w:rsidRPr="004C49FD" w:rsidRDefault="004C49FD" w:rsidP="004C49FD">
            <w:pPr>
              <w:rPr>
                <w:rFonts w:ascii="標楷體" w:eastAsia="標楷體" w:hAnsi="標楷體" w:hint="eastAsia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1、廠商業別：</w:t>
            </w:r>
          </w:p>
          <w:p w:rsidR="004C49FD" w:rsidRPr="004C49FD" w:rsidRDefault="004C49FD" w:rsidP="004C49FD">
            <w:pPr>
              <w:rPr>
                <w:rFonts w:ascii="標楷體" w:eastAsia="標楷體" w:hAnsi="標楷體" w:hint="eastAsia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境內授權--國內登記有案之農民團體、種苗商或公司等，於中華民國臺灣地區(指本國臺、澎、金、馬自由地區)進行生產與販售。</w:t>
            </w:r>
          </w:p>
          <w:p w:rsidR="004C49FD" w:rsidRPr="004C49FD" w:rsidRDefault="004C49FD" w:rsidP="004C49FD">
            <w:pPr>
              <w:rPr>
                <w:rFonts w:ascii="標楷體" w:eastAsia="標楷體" w:hAnsi="標楷體" w:hint="eastAsia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境外授權--廠商不得育種與不得回銷我國。</w:t>
            </w:r>
          </w:p>
          <w:p w:rsidR="004C49FD" w:rsidRPr="004C49FD" w:rsidRDefault="004C49FD" w:rsidP="004C49FD">
            <w:pPr>
              <w:rPr>
                <w:rFonts w:ascii="標楷體" w:eastAsia="標楷體" w:hAnsi="標楷體" w:hint="eastAsia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2、應具備之專門技術：水稻栽培技術</w:t>
            </w:r>
          </w:p>
          <w:p w:rsidR="004C49FD" w:rsidRPr="004C49FD" w:rsidRDefault="004C49FD" w:rsidP="004C49FD">
            <w:pPr>
              <w:rPr>
                <w:rFonts w:ascii="標楷體" w:eastAsia="標楷體" w:hAnsi="標楷體" w:hint="eastAsia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3、應有之機具設備：</w:t>
            </w:r>
          </w:p>
          <w:p w:rsidR="004C49FD" w:rsidRPr="004C49FD" w:rsidRDefault="004C49FD" w:rsidP="004C49FD">
            <w:pPr>
              <w:rPr>
                <w:rFonts w:ascii="標楷體" w:eastAsia="標楷體" w:hAnsi="標楷體" w:hint="eastAsia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4、應有之研究或技術人員人數：</w:t>
            </w:r>
          </w:p>
          <w:p w:rsidR="008A55C0" w:rsidRPr="000E55ED" w:rsidRDefault="004C49FD" w:rsidP="004C49F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5、其他：</w:t>
            </w:r>
          </w:p>
        </w:tc>
      </w:tr>
      <w:tr w:rsidR="004C49FD" w:rsidRPr="000E55ED" w:rsidTr="00605662">
        <w:trPr>
          <w:trHeight w:val="164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9FD" w:rsidRPr="000E55ED" w:rsidRDefault="004C49FD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七、實施限制</w:t>
            </w:r>
            <w:r>
              <w:rPr>
                <w:rFonts w:ascii="標楷體" w:eastAsia="標楷體" w:hAnsi="標楷體"/>
                <w:kern w:val="0"/>
              </w:rPr>
              <w:t>:</w:t>
            </w:r>
            <w:r w:rsidRPr="00D90C05">
              <w:rPr>
                <w:rFonts w:eastAsia="標楷體" w:hint="eastAsia"/>
                <w:noProof/>
              </w:rPr>
              <w:t xml:space="preserve"> </w:t>
            </w:r>
            <w:r w:rsidRPr="00D90C05">
              <w:rPr>
                <w:rFonts w:eastAsia="標楷體" w:hint="eastAsia"/>
                <w:noProof/>
              </w:rPr>
              <w:t>强生米</w:t>
            </w:r>
            <w:r w:rsidRPr="00D90C05">
              <w:rPr>
                <w:rFonts w:eastAsia="標楷體"/>
                <w:noProof/>
              </w:rPr>
              <w:t>3</w:t>
            </w:r>
            <w:r w:rsidRPr="00D90C05">
              <w:rPr>
                <w:rFonts w:eastAsia="標楷體" w:hint="eastAsia"/>
                <w:noProof/>
              </w:rPr>
              <w:t>號生長勢強，株型較台農</w:t>
            </w:r>
            <w:r w:rsidRPr="00D90C05">
              <w:rPr>
                <w:rFonts w:eastAsia="標楷體"/>
                <w:noProof/>
              </w:rPr>
              <w:t>67</w:t>
            </w:r>
            <w:r w:rsidRPr="00D90C05">
              <w:rPr>
                <w:rFonts w:eastAsia="標楷體" w:hint="eastAsia"/>
                <w:noProof/>
              </w:rPr>
              <w:t>號高約</w:t>
            </w:r>
            <w:r w:rsidRPr="00D90C05">
              <w:rPr>
                <w:rFonts w:eastAsia="標楷體"/>
                <w:noProof/>
              </w:rPr>
              <w:t>20</w:t>
            </w:r>
            <w:r w:rsidRPr="00D90C05">
              <w:rPr>
                <w:rFonts w:eastAsia="標楷體" w:hint="eastAsia"/>
                <w:noProof/>
              </w:rPr>
              <w:t>公分，一期作株高約</w:t>
            </w:r>
            <w:r w:rsidRPr="00D90C05">
              <w:rPr>
                <w:rFonts w:eastAsia="標楷體"/>
                <w:noProof/>
              </w:rPr>
              <w:t>130</w:t>
            </w:r>
            <w:r w:rsidRPr="00D90C05">
              <w:rPr>
                <w:rFonts w:eastAsia="標楷體" w:hint="eastAsia"/>
                <w:noProof/>
              </w:rPr>
              <w:t>公分；二期作株高約</w:t>
            </w:r>
            <w:r w:rsidRPr="00D90C05">
              <w:rPr>
                <w:rFonts w:eastAsia="標楷體"/>
                <w:noProof/>
              </w:rPr>
              <w:t>120</w:t>
            </w:r>
            <w:r w:rsidRPr="00D90C05">
              <w:rPr>
                <w:rFonts w:eastAsia="標楷體" w:hint="eastAsia"/>
                <w:noProof/>
              </w:rPr>
              <w:t>公分，氮肥施用宜適量，以避免倒伏。產量略低於臺農</w:t>
            </w:r>
            <w:r w:rsidRPr="00D90C05">
              <w:rPr>
                <w:rFonts w:eastAsia="標楷體"/>
                <w:noProof/>
              </w:rPr>
              <w:t>67</w:t>
            </w:r>
            <w:r w:rsidRPr="00D90C05">
              <w:rPr>
                <w:rFonts w:eastAsia="標楷體" w:hint="eastAsia"/>
                <w:noProof/>
              </w:rPr>
              <w:t>號，對稻熱病及紋枯病、白葉枯病、褐飛蝨、白背飛蝨、斑飛蝨之抵抗性與臺農</w:t>
            </w:r>
            <w:r w:rsidRPr="00D90C05">
              <w:rPr>
                <w:rFonts w:eastAsia="標楷體"/>
                <w:noProof/>
              </w:rPr>
              <w:t>67</w:t>
            </w:r>
            <w:r w:rsidRPr="00D90C05">
              <w:rPr>
                <w:rFonts w:eastAsia="標楷體" w:hint="eastAsia"/>
                <w:noProof/>
              </w:rPr>
              <w:t>號相近，稍具抗性，栽培時仍需注意適時防治，其他可參照</w:t>
            </w:r>
            <w:r>
              <w:rPr>
                <w:rFonts w:eastAsia="標楷體" w:hint="eastAsia"/>
                <w:noProof/>
              </w:rPr>
              <w:t>一般水稻</w:t>
            </w:r>
            <w:r w:rsidRPr="00D90C05">
              <w:rPr>
                <w:rFonts w:eastAsia="標楷體" w:hint="eastAsia"/>
                <w:noProof/>
              </w:rPr>
              <w:t>慣行法進行。</w:t>
            </w:r>
            <w:r>
              <w:rPr>
                <w:rFonts w:eastAsia="標楷體" w:hint="eastAsia"/>
                <w:noProof/>
              </w:rPr>
              <w:t>盡量低氮肥</w:t>
            </w:r>
            <w:r>
              <w:rPr>
                <w:rFonts w:eastAsia="標楷體" w:hint="eastAsia"/>
                <w:noProof/>
              </w:rPr>
              <w:t>(&lt;150 kg/ha)</w:t>
            </w:r>
            <w:r>
              <w:rPr>
                <w:rFonts w:eastAsia="標楷體" w:hint="eastAsia"/>
                <w:noProof/>
              </w:rPr>
              <w:t>，低密度栽培</w:t>
            </w: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寬行機插每欉</w:t>
            </w:r>
            <w:r>
              <w:rPr>
                <w:rFonts w:eastAsia="標楷體" w:hint="eastAsia"/>
                <w:noProof/>
              </w:rPr>
              <w:t>3~5</w:t>
            </w:r>
            <w:r>
              <w:rPr>
                <w:rFonts w:eastAsia="標楷體" w:hint="eastAsia"/>
                <w:noProof/>
              </w:rPr>
              <w:t>本</w:t>
            </w:r>
            <w:r>
              <w:rPr>
                <w:rFonts w:eastAsia="標楷體" w:hint="eastAsia"/>
                <w:noProof/>
              </w:rPr>
              <w:t>)</w:t>
            </w:r>
            <w:r>
              <w:rPr>
                <w:rFonts w:eastAsia="標楷體" w:hint="eastAsia"/>
                <w:noProof/>
              </w:rPr>
              <w:t>以維持</w:t>
            </w:r>
            <w:r>
              <w:rPr>
                <w:rFonts w:eastAsia="標楷體" w:hint="eastAsia"/>
                <w:noProof/>
              </w:rPr>
              <w:t>CS3</w:t>
            </w:r>
            <w:r>
              <w:rPr>
                <w:rFonts w:eastAsia="標楷體" w:hint="eastAsia"/>
                <w:noProof/>
              </w:rPr>
              <w:t>品種米質特性。</w:t>
            </w:r>
          </w:p>
        </w:tc>
      </w:tr>
      <w:tr w:rsidR="008A55C0" w:rsidRPr="000E55ED" w:rsidTr="002E2CBA">
        <w:trPr>
          <w:trHeight w:val="5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0D4" w:rsidRPr="000070D4" w:rsidRDefault="004C49FD" w:rsidP="000070D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八</w:t>
            </w:r>
            <w:r w:rsidR="008A55C0" w:rsidRPr="000E55ED">
              <w:rPr>
                <w:rFonts w:ascii="標楷體" w:eastAsia="標楷體" w:hAnsi="標楷體"/>
                <w:kern w:val="0"/>
              </w:rPr>
              <w:t>、預期利用範圍及產品：</w:t>
            </w:r>
            <w:r w:rsidR="000070D4" w:rsidRPr="000070D4">
              <w:rPr>
                <w:rFonts w:ascii="標楷體" w:eastAsia="標楷體" w:hAnsi="標楷體" w:hint="eastAsia"/>
                <w:kern w:val="0"/>
              </w:rPr>
              <w:t>預期可利用於食品加工業。</w:t>
            </w:r>
          </w:p>
          <w:p w:rsidR="002E2CBA" w:rsidRPr="000E55ED" w:rsidRDefault="000070D4" w:rsidP="000070D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noProof/>
              </w:rPr>
            </w:pPr>
            <w:r w:rsidRPr="000070D4">
              <w:rPr>
                <w:rFonts w:ascii="標楷體" w:eastAsia="標楷體" w:hAnsi="標楷體" w:hint="eastAsia"/>
                <w:kern w:val="0"/>
              </w:rPr>
              <w:t>產品可為糙米、白米及相關副產品等,</w:t>
            </w:r>
            <w:r>
              <w:rPr>
                <w:rFonts w:ascii="標楷體" w:eastAsia="標楷體" w:hAnsi="標楷體" w:hint="eastAsia"/>
                <w:kern w:val="0"/>
              </w:rPr>
              <w:t>及米類食品加工等衍生性產品</w:t>
            </w:r>
            <w:bookmarkStart w:id="3" w:name="_GoBack"/>
            <w:bookmarkEnd w:id="3"/>
            <w:r w:rsidR="00AD3221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2E2CBA" w:rsidRPr="000E55ED" w:rsidTr="002E2CBA">
        <w:trPr>
          <w:trHeight w:val="90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0E55ED" w:rsidRDefault="004C49FD" w:rsidP="00811255">
            <w:pPr>
              <w:suppressAutoHyphens/>
              <w:autoSpaceDN w:val="0"/>
              <w:spacing w:line="276" w:lineRule="auto"/>
              <w:ind w:leftChars="1" w:left="350" w:hangingChars="145" w:hanging="348"/>
              <w:jc w:val="both"/>
              <w:textAlignment w:val="baseline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九</w:t>
            </w:r>
            <w:r w:rsidR="002E2CBA" w:rsidRPr="000E55ED">
              <w:rPr>
                <w:rFonts w:ascii="標楷體" w:eastAsia="標楷體" w:hAnsi="標楷體" w:hint="eastAsia"/>
                <w:noProof/>
              </w:rPr>
              <w:t>、應用市場潛力:</w:t>
            </w:r>
            <w:r w:rsidR="002E2CBA" w:rsidRPr="000E55ED">
              <w:rPr>
                <w:rFonts w:ascii="標楷體" w:eastAsia="標楷體" w:hAnsi="標楷體"/>
                <w:noProof/>
              </w:rPr>
              <w:t xml:space="preserve"> </w:t>
            </w:r>
            <w:r w:rsidR="00D15581" w:rsidRPr="00D15581">
              <w:rPr>
                <w:rFonts w:ascii="標楷體" w:eastAsia="標楷體" w:hAnsi="標楷體" w:hint="eastAsia"/>
                <w:noProof/>
              </w:rPr>
              <w:t>强生米</w:t>
            </w:r>
            <w:r w:rsidR="00D15581" w:rsidRPr="00D15581">
              <w:rPr>
                <w:rFonts w:ascii="標楷體" w:eastAsia="標楷體" w:hAnsi="標楷體"/>
                <w:noProof/>
              </w:rPr>
              <w:t>3</w:t>
            </w:r>
            <w:r w:rsidR="00D15581" w:rsidRPr="00D15581">
              <w:rPr>
                <w:rFonts w:ascii="標楷體" w:eastAsia="標楷體" w:hAnsi="標楷體" w:hint="eastAsia"/>
                <w:noProof/>
              </w:rPr>
              <w:t>號為目前國內已知抗性澱粉</w:t>
            </w:r>
            <w:r w:rsidR="00D15581" w:rsidRPr="00D15581">
              <w:rPr>
                <w:rFonts w:ascii="標楷體" w:eastAsia="標楷體" w:hAnsi="標楷體"/>
                <w:noProof/>
              </w:rPr>
              <w:t>(Resistant starch, RS)</w:t>
            </w:r>
            <w:r w:rsidR="00D15581" w:rsidRPr="00D15581">
              <w:rPr>
                <w:rFonts w:ascii="標楷體" w:eastAsia="標楷體" w:hAnsi="標楷體" w:hint="eastAsia"/>
                <w:noProof/>
              </w:rPr>
              <w:t>含量最高，升糖指數最低的蓬萊米品種。其他聲稱低糖米的品種皆為秈稻</w:t>
            </w:r>
            <w:r w:rsidR="00D15581" w:rsidRPr="00D15581">
              <w:rPr>
                <w:rFonts w:ascii="標楷體" w:eastAsia="標楷體" w:hAnsi="標楷體"/>
                <w:noProof/>
              </w:rPr>
              <w:t>(</w:t>
            </w:r>
            <w:r w:rsidR="00D15581" w:rsidRPr="00D15581">
              <w:rPr>
                <w:rFonts w:ascii="標楷體" w:eastAsia="標楷體" w:hAnsi="標楷體" w:hint="eastAsia"/>
                <w:noProof/>
              </w:rPr>
              <w:t>在來米</w:t>
            </w:r>
            <w:r w:rsidR="00D15581" w:rsidRPr="00D15581">
              <w:rPr>
                <w:rFonts w:ascii="標楷體" w:eastAsia="標楷體" w:hAnsi="標楷體"/>
                <w:noProof/>
              </w:rPr>
              <w:t>)</w:t>
            </w:r>
            <w:r w:rsidR="00D15581" w:rsidRPr="00D15581">
              <w:rPr>
                <w:rFonts w:ascii="標楷體" w:eastAsia="標楷體" w:hAnsi="標楷體" w:hint="eastAsia"/>
                <w:noProof/>
              </w:rPr>
              <w:t>品種，二者口感差異大。可以提供減重族群及關注血糖代謝者之安全米食。</w:t>
            </w:r>
          </w:p>
        </w:tc>
      </w:tr>
      <w:tr w:rsidR="008A55C0" w:rsidRPr="000E55ED" w:rsidTr="00605662">
        <w:trPr>
          <w:trHeight w:val="9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4C49FD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十</w:t>
            </w:r>
            <w:r w:rsidR="008A55C0" w:rsidRPr="000E55ED">
              <w:rPr>
                <w:rFonts w:ascii="標楷體" w:eastAsia="標楷體" w:hAnsi="標楷體"/>
                <w:kern w:val="0"/>
              </w:rPr>
              <w:t>、公開方式：</w:t>
            </w:r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（一）技術資料於網際網路上公開。</w:t>
            </w:r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網址：國立中興大學首頁</w:t>
            </w:r>
            <w:hyperlink r:id="rId8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lastRenderedPageBreak/>
              <w:t xml:space="preserve">國立中興大學產學研鏈結中心 </w:t>
            </w:r>
            <w:hyperlink r:id="rId9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（二）逕向國立中興大學產學研鏈結中心</w:t>
            </w:r>
            <w:r w:rsidR="00B17437"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/>
                <w:kern w:val="0"/>
              </w:rPr>
              <w:t>索取相關資料。</w:t>
            </w:r>
          </w:p>
        </w:tc>
      </w:tr>
      <w:tr w:rsidR="008A55C0" w:rsidRPr="000E55ED" w:rsidTr="003F29DE">
        <w:trPr>
          <w:trHeight w:val="223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D806F8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lastRenderedPageBreak/>
              <w:t>十</w:t>
            </w:r>
            <w:r w:rsidR="004C49FD">
              <w:rPr>
                <w:rFonts w:ascii="標楷體" w:eastAsia="標楷體" w:hAnsi="標楷體" w:hint="eastAsia"/>
                <w:kern w:val="0"/>
              </w:rPr>
              <w:t>一</w:t>
            </w:r>
            <w:r w:rsidR="008A55C0" w:rsidRPr="000E55ED">
              <w:rPr>
                <w:rFonts w:ascii="標楷體" w:eastAsia="標楷體" w:hAnsi="標楷體"/>
                <w:kern w:val="0"/>
              </w:rPr>
              <w:t>、申請方式：</w:t>
            </w:r>
            <w:r w:rsidR="008A55C0" w:rsidRPr="000E55ED">
              <w:rPr>
                <w:rFonts w:ascii="標楷體" w:eastAsia="標楷體" w:hAnsi="標楷體"/>
                <w:kern w:val="0"/>
              </w:rPr>
              <w:br/>
              <w:t>（一）由網際網路下載申請表格，填妥後逕送至國立中興大學產學研鏈結中心。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（二）亦得逕至中興大學索取技術資料及申請表格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地點：</w:t>
            </w:r>
            <w:r w:rsidR="00797B84" w:rsidRPr="000E55ED">
              <w:rPr>
                <w:rFonts w:ascii="標楷體" w:eastAsia="標楷體" w:hAnsi="標楷體" w:hint="eastAsia"/>
                <w:kern w:val="0"/>
              </w:rPr>
              <w:t>臺</w:t>
            </w:r>
            <w:r w:rsidRPr="000E55ED">
              <w:rPr>
                <w:rFonts w:ascii="標楷體" w:eastAsia="標楷體" w:hAnsi="標楷體"/>
                <w:kern w:val="0"/>
              </w:rPr>
              <w:t>中市興大路145號（國農中心大樓2F 234室）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承辦人員：</w:t>
            </w: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聯絡電話：(04)22851811#21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、20</w:t>
            </w:r>
            <w:r w:rsidR="00B17437" w:rsidRPr="000E55ED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傳真：(04)22851672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color w:val="0000FF"/>
                <w:kern w:val="0"/>
                <w:u w:val="single"/>
              </w:rPr>
            </w:pPr>
            <w:r w:rsidRPr="000E55ED">
              <w:rPr>
                <w:rFonts w:ascii="標楷體" w:eastAsia="標楷體" w:hAnsi="標楷體"/>
                <w:kern w:val="0"/>
              </w:rPr>
              <w:t>e-mail：</w:t>
            </w:r>
            <w:hyperlink r:id="rId10" w:history="1">
              <w:r w:rsidRPr="000E55ED">
                <w:rPr>
                  <w:rStyle w:val="a3"/>
                  <w:rFonts w:ascii="標楷體" w:eastAsia="標楷體" w:hAnsi="標楷體"/>
                  <w:kern w:val="0"/>
                </w:rPr>
                <w:t>jmine3388@nchu.edu.tw</w:t>
              </w:r>
            </w:hyperlink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 xml:space="preserve"> </w:t>
            </w:r>
            <w:r w:rsidR="001373AA" w:rsidRPr="000E55ED">
              <w:rPr>
                <w:rStyle w:val="a3"/>
                <w:rFonts w:ascii="標楷體" w:eastAsia="標楷體" w:hAnsi="標楷體" w:hint="eastAsia"/>
                <w:kern w:val="0"/>
                <w:u w:val="none"/>
              </w:rPr>
              <w:t xml:space="preserve">、 </w:t>
            </w:r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E55E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0D4"/>
    <w:rsid w:val="0000729E"/>
    <w:rsid w:val="00061431"/>
    <w:rsid w:val="000E2376"/>
    <w:rsid w:val="000E55ED"/>
    <w:rsid w:val="000F503B"/>
    <w:rsid w:val="00105FCC"/>
    <w:rsid w:val="0011320C"/>
    <w:rsid w:val="001373AA"/>
    <w:rsid w:val="001374FE"/>
    <w:rsid w:val="00144384"/>
    <w:rsid w:val="001544BF"/>
    <w:rsid w:val="00171658"/>
    <w:rsid w:val="001E6524"/>
    <w:rsid w:val="001E65BC"/>
    <w:rsid w:val="001F370B"/>
    <w:rsid w:val="002715BD"/>
    <w:rsid w:val="00290BD7"/>
    <w:rsid w:val="002924AB"/>
    <w:rsid w:val="002B2A5B"/>
    <w:rsid w:val="002C34B8"/>
    <w:rsid w:val="002E2CBA"/>
    <w:rsid w:val="00312168"/>
    <w:rsid w:val="0033003D"/>
    <w:rsid w:val="003856D9"/>
    <w:rsid w:val="003A7ECA"/>
    <w:rsid w:val="003F29DE"/>
    <w:rsid w:val="004C49FD"/>
    <w:rsid w:val="00542CD6"/>
    <w:rsid w:val="00565BF0"/>
    <w:rsid w:val="005B0EE4"/>
    <w:rsid w:val="005C6607"/>
    <w:rsid w:val="005F524C"/>
    <w:rsid w:val="00605662"/>
    <w:rsid w:val="00657272"/>
    <w:rsid w:val="00680832"/>
    <w:rsid w:val="006F0F71"/>
    <w:rsid w:val="00756722"/>
    <w:rsid w:val="00797B84"/>
    <w:rsid w:val="007D4799"/>
    <w:rsid w:val="00811255"/>
    <w:rsid w:val="0081384F"/>
    <w:rsid w:val="008A55C0"/>
    <w:rsid w:val="008C7EAD"/>
    <w:rsid w:val="009129FA"/>
    <w:rsid w:val="009314C7"/>
    <w:rsid w:val="00936834"/>
    <w:rsid w:val="00962278"/>
    <w:rsid w:val="00963525"/>
    <w:rsid w:val="00AA22C1"/>
    <w:rsid w:val="00AD3221"/>
    <w:rsid w:val="00B06260"/>
    <w:rsid w:val="00B17437"/>
    <w:rsid w:val="00B47DF1"/>
    <w:rsid w:val="00B71698"/>
    <w:rsid w:val="00BA57D0"/>
    <w:rsid w:val="00BA5FCB"/>
    <w:rsid w:val="00BD5990"/>
    <w:rsid w:val="00C30F8B"/>
    <w:rsid w:val="00C54ED1"/>
    <w:rsid w:val="00CE3DAC"/>
    <w:rsid w:val="00CE72A2"/>
    <w:rsid w:val="00D15581"/>
    <w:rsid w:val="00D27F2F"/>
    <w:rsid w:val="00D426C0"/>
    <w:rsid w:val="00D6488C"/>
    <w:rsid w:val="00D65F8C"/>
    <w:rsid w:val="00D776C9"/>
    <w:rsid w:val="00D806F8"/>
    <w:rsid w:val="00D84187"/>
    <w:rsid w:val="00DC7894"/>
    <w:rsid w:val="00DE0D57"/>
    <w:rsid w:val="00E06391"/>
    <w:rsid w:val="00E23833"/>
    <w:rsid w:val="00E37695"/>
    <w:rsid w:val="00E536C6"/>
    <w:rsid w:val="00E93F36"/>
    <w:rsid w:val="00EA27B4"/>
    <w:rsid w:val="00EB039E"/>
    <w:rsid w:val="00ED14ED"/>
    <w:rsid w:val="00F0734D"/>
    <w:rsid w:val="00F674D0"/>
    <w:rsid w:val="00F83203"/>
    <w:rsid w:val="00F93B6D"/>
    <w:rsid w:val="00FB04F7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B6E4E90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DA0AE-F94A-4C08-8BEE-A6F61E81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2021-05-04T06:39:00Z</cp:lastPrinted>
  <dcterms:created xsi:type="dcterms:W3CDTF">2021-11-25T08:54:00Z</dcterms:created>
  <dcterms:modified xsi:type="dcterms:W3CDTF">2021-11-25T09:09:00Z</dcterms:modified>
</cp:coreProperties>
</file>