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527" w:type="dxa"/>
        <w:tblInd w:w="-176" w:type="dxa"/>
        <w:tblLayout w:type="fixed"/>
        <w:tblCellMar>
          <w:left w:w="10" w:type="dxa"/>
          <w:right w:w="10" w:type="dxa"/>
        </w:tblCellMar>
        <w:tblLook w:val="04A0" w:firstRow="1" w:lastRow="0" w:firstColumn="1" w:lastColumn="0" w:noHBand="0" w:noVBand="1"/>
      </w:tblPr>
      <w:tblGrid>
        <w:gridCol w:w="5864"/>
        <w:gridCol w:w="3663"/>
      </w:tblGrid>
      <w:tr w:rsidR="008A55C0" w:rsidRPr="00162600" w:rsidTr="00704F9C">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3D3782">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10</w:t>
            </w:r>
            <w:r w:rsidR="000E6DDB">
              <w:rPr>
                <w:rFonts w:ascii="Lucida Sans" w:eastAsia="標楷體" w:hAnsi="Lucida Sans" w:cs="Lucida Sans" w:hint="eastAsia"/>
                <w:kern w:val="0"/>
              </w:rPr>
              <w:t>9</w:t>
            </w:r>
            <w:r>
              <w:rPr>
                <w:rFonts w:ascii="Lucida Sans" w:eastAsia="標楷體" w:hAnsi="Lucida Sans" w:cs="Lucida Sans"/>
                <w:kern w:val="0"/>
              </w:rPr>
              <w:t>/</w:t>
            </w:r>
            <w:r w:rsidR="003D3782">
              <w:rPr>
                <w:rFonts w:ascii="Lucida Sans" w:eastAsia="標楷體" w:hAnsi="Lucida Sans" w:cs="Lucida Sans" w:hint="eastAsia"/>
                <w:kern w:val="0"/>
              </w:rPr>
              <w:t>11</w:t>
            </w:r>
            <w:r w:rsidRPr="00162600">
              <w:rPr>
                <w:rFonts w:ascii="Lucida Sans" w:eastAsia="標楷體" w:hAnsi="Lucida Sans" w:cs="Lucida Sans"/>
                <w:kern w:val="0"/>
              </w:rPr>
              <w:t>/</w:t>
            </w:r>
            <w:r w:rsidR="00C67847">
              <w:rPr>
                <w:rFonts w:ascii="Lucida Sans" w:eastAsia="標楷體" w:hAnsi="Lucida Sans" w:cs="Lucida Sans" w:hint="eastAsia"/>
                <w:kern w:val="0"/>
              </w:rPr>
              <w:t>30</w:t>
            </w:r>
          </w:p>
        </w:tc>
      </w:tr>
      <w:tr w:rsidR="008A55C0" w:rsidRPr="00162600" w:rsidTr="00704F9C">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sidR="000E6DDB">
              <w:rPr>
                <w:rFonts w:ascii="Lucida Sans" w:eastAsia="標楷體" w:hAnsi="Lucida Sans" w:cs="Lucida Sans" w:hint="eastAsia"/>
                <w:b/>
                <w:kern w:val="0"/>
                <w:sz w:val="28"/>
                <w:szCs w:val="28"/>
              </w:rPr>
              <w:t>9</w:t>
            </w:r>
            <w:r>
              <w:rPr>
                <w:rFonts w:ascii="Lucida Sans" w:eastAsia="標楷體" w:hAnsi="Lucida Sans" w:cs="Lucida Sans"/>
                <w:b/>
                <w:kern w:val="0"/>
                <w:sz w:val="28"/>
                <w:szCs w:val="28"/>
              </w:rPr>
              <w:t>-0</w:t>
            </w:r>
            <w:r w:rsidR="00C67847">
              <w:rPr>
                <w:rFonts w:ascii="Lucida Sans" w:eastAsia="標楷體" w:hAnsi="Lucida Sans" w:cs="Lucida Sans" w:hint="eastAsia"/>
                <w:b/>
                <w:kern w:val="0"/>
                <w:sz w:val="28"/>
                <w:szCs w:val="28"/>
              </w:rPr>
              <w:t>43</w:t>
            </w:r>
          </w:p>
        </w:tc>
        <w:tc>
          <w:tcPr>
            <w:tcW w:w="3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704F9C">
        <w:trPr>
          <w:trHeight w:val="283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542CD6">
            <w:pPr>
              <w:suppressAutoHyphens/>
              <w:autoSpaceDN w:val="0"/>
              <w:jc w:val="both"/>
              <w:textAlignment w:val="baseline"/>
              <w:rPr>
                <w:kern w:val="3"/>
              </w:rPr>
            </w:pPr>
            <w:r w:rsidRPr="00162600">
              <w:rPr>
                <w:rFonts w:eastAsia="標楷體"/>
                <w:kern w:val="0"/>
              </w:rPr>
              <w:t>內容：國立中興大學技術移轉遴選廠商公告</w:t>
            </w:r>
          </w:p>
          <w:p w:rsidR="00105FCC" w:rsidRPr="00C524EC" w:rsidRDefault="00C524EC" w:rsidP="00C524EC">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C524EC">
              <w:rPr>
                <w:rFonts w:ascii="標楷體" w:eastAsia="標楷體" w:hAnsi="標楷體"/>
                <w:kern w:val="0"/>
              </w:rPr>
              <w:t>技術名稱：</w:t>
            </w:r>
            <w:r w:rsidR="008C0AA3">
              <w:rPr>
                <w:rFonts w:ascii="Lucida Sans" w:eastAsia="標楷體" w:hAnsi="Lucida Sans" w:cs="Lucida Sans" w:hint="eastAsia"/>
              </w:rPr>
              <w:t>果粒脫粒機</w:t>
            </w:r>
          </w:p>
          <w:p w:rsidR="001E6524" w:rsidRDefault="00C524EC" w:rsidP="00C524EC">
            <w:pPr>
              <w:suppressAutoHyphens/>
              <w:autoSpaceDN w:val="0"/>
              <w:jc w:val="both"/>
              <w:textAlignment w:val="baseline"/>
              <w:rPr>
                <w:rFonts w:eastAsia="標楷體"/>
              </w:rPr>
            </w:pPr>
            <w:r>
              <w:rPr>
                <w:rFonts w:ascii="標楷體" w:eastAsia="標楷體" w:hAnsi="標楷體" w:hint="eastAsia"/>
                <w:kern w:val="3"/>
              </w:rPr>
              <w:t>二、</w:t>
            </w:r>
            <w:r w:rsidR="00E536C6" w:rsidRPr="00C524EC">
              <w:rPr>
                <w:rFonts w:ascii="標楷體" w:eastAsia="標楷體" w:hAnsi="標楷體"/>
                <w:kern w:val="3"/>
              </w:rPr>
              <w:t>技術來源：</w:t>
            </w:r>
            <w:r w:rsidR="006F31C4" w:rsidRPr="006F31C4">
              <w:rPr>
                <w:rFonts w:eastAsia="標楷體" w:hint="eastAsia"/>
              </w:rPr>
              <w:t>農委會</w:t>
            </w:r>
          </w:p>
          <w:p w:rsidR="00C67847" w:rsidRPr="00C524EC" w:rsidRDefault="00C67847" w:rsidP="00C524EC">
            <w:pPr>
              <w:suppressAutoHyphens/>
              <w:autoSpaceDN w:val="0"/>
              <w:jc w:val="both"/>
              <w:textAlignment w:val="baseline"/>
              <w:rPr>
                <w:rFonts w:ascii="標楷體" w:eastAsia="標楷體" w:hAnsi="標楷體"/>
                <w:kern w:val="3"/>
                <w:lang w:eastAsia="zh-HK"/>
              </w:rPr>
            </w:pPr>
            <w:r>
              <w:rPr>
                <w:rFonts w:eastAsia="標楷體" w:hint="eastAsia"/>
              </w:rPr>
              <w:t>三、專利資訊：</w:t>
            </w:r>
            <w:r w:rsidR="008C0AA3" w:rsidRPr="00621EB3">
              <w:rPr>
                <w:rFonts w:ascii="Lucida Sans" w:eastAsia="標楷體" w:hAnsi="標楷體" w:cs="Lucida Sans"/>
              </w:rPr>
              <w:t>申請中</w:t>
            </w:r>
            <w:r w:rsidR="008C0AA3">
              <w:rPr>
                <w:rFonts w:ascii="Lucida Sans" w:eastAsia="標楷體" w:hAnsi="標楷體" w:cs="Lucida Sans" w:hint="eastAsia"/>
              </w:rPr>
              <w:t>(</w:t>
            </w:r>
            <w:r w:rsidR="008C0AA3">
              <w:rPr>
                <w:rFonts w:ascii="Lucida Sans" w:eastAsia="標楷體" w:hAnsi="標楷體" w:cs="Lucida Sans" w:hint="eastAsia"/>
              </w:rPr>
              <w:t>校內編號：</w:t>
            </w:r>
            <w:r w:rsidR="008C0AA3" w:rsidRPr="001D59DC">
              <w:rPr>
                <w:rFonts w:eastAsia="標楷體"/>
              </w:rPr>
              <w:t>108</w:t>
            </w:r>
            <w:r w:rsidR="008C0AA3">
              <w:rPr>
                <w:rFonts w:eastAsia="標楷體"/>
              </w:rPr>
              <w:t>PA0010</w:t>
            </w:r>
            <w:r w:rsidR="008C0AA3">
              <w:rPr>
                <w:rFonts w:ascii="Lucida Sans" w:eastAsia="標楷體" w:hAnsi="標楷體" w:cs="Lucida Sans" w:hint="eastAsia"/>
              </w:rPr>
              <w:t xml:space="preserve"> )</w:t>
            </w:r>
          </w:p>
          <w:p w:rsidR="003D3782" w:rsidRPr="003D3782" w:rsidRDefault="00C67847" w:rsidP="003D3782">
            <w:pPr>
              <w:suppressAutoHyphens/>
              <w:autoSpaceDN w:val="0"/>
              <w:jc w:val="both"/>
              <w:textAlignment w:val="baseline"/>
              <w:rPr>
                <w:kern w:val="3"/>
              </w:rPr>
            </w:pPr>
            <w:r>
              <w:rPr>
                <w:rFonts w:eastAsia="標楷體" w:hint="eastAsia"/>
              </w:rPr>
              <w:t>四</w:t>
            </w:r>
            <w:r w:rsidR="00C524EC">
              <w:rPr>
                <w:rFonts w:ascii="標楷體" w:eastAsia="標楷體" w:hAnsi="標楷體" w:hint="eastAsia"/>
                <w:kern w:val="3"/>
              </w:rPr>
              <w:t>、</w:t>
            </w:r>
            <w:r w:rsidR="00E536C6" w:rsidRPr="00C524EC">
              <w:rPr>
                <w:rFonts w:ascii="標楷體" w:eastAsia="標楷體" w:hAnsi="標楷體"/>
                <w:kern w:val="3"/>
              </w:rPr>
              <w:t>技術內容：</w:t>
            </w:r>
          </w:p>
          <w:p w:rsidR="008A55C0" w:rsidRPr="00821BDD" w:rsidRDefault="008C0AA3" w:rsidP="00821BDD">
            <w:pPr>
              <w:autoSpaceDN w:val="0"/>
              <w:spacing w:line="320" w:lineRule="exact"/>
              <w:rPr>
                <w:kern w:val="3"/>
              </w:rPr>
            </w:pPr>
            <w:r w:rsidRPr="00771DA8">
              <w:rPr>
                <w:rFonts w:eastAsia="標楷體"/>
                <w:bCs/>
              </w:rPr>
              <w:t>荔枝脫粒機係由一進料機構、一壓折脫粒機構、一殘枝輸出機構及一果實收集槽等四部分所組成，其中進料機構係由兩根互相平行，反向迴轉之螺紋桿組成，主要為夾住果梗後，藉由該兩根螺紋反向旋轉之拉力將荔枝成串的枝條果實拉入，並於壓折脫粒機構處進行脫粒，該壓折脫粒機構係由上方的可動壓折刀片及下方的固定壓折片所組成，兩片的間距可依果梗直徑大小調整，可動壓折刀片由一馬達驅動一偏心螺桿傳動之，藉由上下壓折刀片將輸送進來的成串荔枝果實予以單粒化脫粒。脫粒完成之單粒果實隨即因地心引力掉下果實收集槽內。而脫粒完成之果梗殘枝則被進料機構拉至機台另側的殘枝</w:t>
            </w:r>
            <w:r>
              <w:rPr>
                <w:rFonts w:eastAsia="標楷體"/>
                <w:bCs/>
              </w:rPr>
              <w:t>輸出機構排出機體之外，該殘枝輸出機構係由一馬達驅動之平皮帶組成</w:t>
            </w:r>
            <w:r w:rsidR="00821BDD" w:rsidRPr="00821BDD">
              <w:rPr>
                <w:rFonts w:eastAsia="標楷體" w:hAnsi="標楷體" w:hint="eastAsia"/>
                <w:shd w:val="clear" w:color="auto" w:fill="FFFFFF"/>
              </w:rPr>
              <w:t>。</w:t>
            </w:r>
          </w:p>
        </w:tc>
      </w:tr>
      <w:tr w:rsidR="008A55C0" w:rsidRPr="00162600" w:rsidTr="00704F9C">
        <w:trPr>
          <w:trHeight w:val="698"/>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B71698" w:rsidP="00542CD6">
            <w:pPr>
              <w:tabs>
                <w:tab w:val="left" w:pos="978"/>
              </w:tabs>
              <w:suppressAutoHyphens/>
              <w:autoSpaceDN w:val="0"/>
              <w:textAlignment w:val="baseline"/>
              <w:rPr>
                <w:kern w:val="3"/>
              </w:rPr>
            </w:pPr>
            <w:r>
              <w:rPr>
                <w:rFonts w:eastAsia="標楷體" w:hint="eastAsia"/>
                <w:kern w:val="0"/>
              </w:rPr>
              <w:t>五</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6F31C4">
              <w:rPr>
                <w:rFonts w:ascii="Lucida Sans" w:eastAsia="標楷體" w:hAnsi="Lucida Sans" w:cs="Lucida Sans" w:hint="eastAsia"/>
              </w:rPr>
              <w:t>生機</w:t>
            </w:r>
            <w:r w:rsidR="007C6BCE">
              <w:rPr>
                <w:rFonts w:ascii="Lucida Sans" w:eastAsia="標楷體" w:hAnsi="Lucida Sans" w:cs="Lucida Sans" w:hint="eastAsia"/>
              </w:rPr>
              <w:t>系</w:t>
            </w:r>
          </w:p>
          <w:p w:rsidR="008A55C0" w:rsidRPr="00162600" w:rsidRDefault="008A55C0" w:rsidP="008C0AA3">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6F31C4" w:rsidRPr="006F31C4">
              <w:rPr>
                <w:rFonts w:ascii="Lucida Sans" w:eastAsia="標楷體" w:hAnsi="Lucida Sans" w:cs="Lucida Sans" w:hint="eastAsia"/>
              </w:rPr>
              <w:t>王豐政</w:t>
            </w:r>
            <w:r w:rsidR="006F31C4">
              <w:rPr>
                <w:rFonts w:ascii="Lucida Sans" w:eastAsia="標楷體" w:hAnsi="Lucida Sans" w:cs="Lucida Sans" w:hint="eastAsia"/>
              </w:rPr>
              <w:t>副</w:t>
            </w:r>
            <w:r w:rsidR="006F31C4" w:rsidRPr="001373AA">
              <w:rPr>
                <w:rFonts w:ascii="Lucida Sans" w:eastAsia="標楷體" w:hAnsi="Lucida Sans" w:cs="Lucida Sans" w:hint="eastAsia"/>
                <w:kern w:val="3"/>
              </w:rPr>
              <w:t>教授</w:t>
            </w:r>
          </w:p>
        </w:tc>
      </w:tr>
      <w:tr w:rsidR="008A55C0" w:rsidRPr="00162600" w:rsidTr="00704F9C">
        <w:trPr>
          <w:trHeight w:val="222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B71698" w:rsidP="008C7EAD">
            <w:pPr>
              <w:suppressAutoHyphens/>
              <w:autoSpaceDN w:val="0"/>
              <w:jc w:val="both"/>
              <w:textAlignment w:val="baseline"/>
              <w:rPr>
                <w:rFonts w:eastAsia="標楷體"/>
                <w:kern w:val="0"/>
              </w:rPr>
            </w:pPr>
            <w:r>
              <w:rPr>
                <w:rFonts w:eastAsia="標楷體" w:hint="eastAsia"/>
                <w:kern w:val="0"/>
              </w:rPr>
              <w:t>六</w:t>
            </w:r>
            <w:r w:rsidR="008A55C0" w:rsidRPr="00162600">
              <w:rPr>
                <w:rFonts w:eastAsia="標楷體"/>
                <w:kern w:val="0"/>
              </w:rPr>
              <w:t>、廠商資格：</w:t>
            </w:r>
          </w:p>
          <w:p w:rsidR="00105FCC" w:rsidRPr="008C7EAD" w:rsidRDefault="00FA2C6A" w:rsidP="008C7EAD">
            <w:pPr>
              <w:spacing w:line="280" w:lineRule="exact"/>
              <w:rPr>
                <w:rFonts w:eastAsia="標楷體"/>
                <w:kern w:val="0"/>
              </w:rPr>
            </w:pPr>
            <w:r w:rsidRPr="00162600">
              <w:rPr>
                <w:rFonts w:eastAsia="標楷體"/>
                <w:kern w:val="0"/>
              </w:rPr>
              <w:t>（一）</w:t>
            </w:r>
            <w:r w:rsidR="00105FCC" w:rsidRPr="00105FCC">
              <w:rPr>
                <w:rFonts w:eastAsia="標楷體" w:hint="eastAsia"/>
                <w:kern w:val="0"/>
              </w:rPr>
              <w:t>廠商業別：</w:t>
            </w:r>
            <w:r w:rsidR="008C0AA3">
              <w:rPr>
                <w:rFonts w:eastAsia="標楷體" w:hint="eastAsia"/>
                <w:kern w:val="0"/>
              </w:rPr>
              <w:t>農業機械製造業</w:t>
            </w:r>
            <w:r w:rsidR="00704F9C">
              <w:rPr>
                <w:rFonts w:eastAsia="標楷體" w:hint="eastAsia"/>
                <w:kern w:val="0"/>
              </w:rPr>
              <w:t>。</w:t>
            </w:r>
          </w:p>
          <w:p w:rsidR="00105FCC" w:rsidRPr="00105FCC" w:rsidRDefault="00FA2C6A" w:rsidP="00105FCC">
            <w:pPr>
              <w:rPr>
                <w:rFonts w:eastAsia="標楷體"/>
                <w:kern w:val="0"/>
              </w:rPr>
            </w:pPr>
            <w:r w:rsidRPr="00162600">
              <w:rPr>
                <w:rFonts w:eastAsia="標楷體"/>
                <w:kern w:val="0"/>
              </w:rPr>
              <w:t>（二）</w:t>
            </w:r>
            <w:r w:rsidR="00105FCC" w:rsidRPr="00105FCC">
              <w:rPr>
                <w:rFonts w:eastAsia="標楷體" w:hint="eastAsia"/>
                <w:kern w:val="0"/>
              </w:rPr>
              <w:t>應具備之專門技術：</w:t>
            </w:r>
            <w:r w:rsidR="008C0AA3">
              <w:rPr>
                <w:rFonts w:eastAsia="標楷體" w:hint="eastAsia"/>
                <w:kern w:val="0"/>
              </w:rPr>
              <w:t>農業機械製造技術</w:t>
            </w:r>
            <w:r w:rsidR="00704F9C">
              <w:rPr>
                <w:rFonts w:eastAsia="標楷體" w:hint="eastAsia"/>
                <w:kern w:val="0"/>
              </w:rPr>
              <w:t>。</w:t>
            </w:r>
          </w:p>
          <w:p w:rsidR="001F370B" w:rsidRDefault="00FA2C6A" w:rsidP="00105FCC">
            <w:pPr>
              <w:rPr>
                <w:rFonts w:eastAsia="標楷體"/>
                <w:kern w:val="0"/>
              </w:rPr>
            </w:pPr>
            <w:r w:rsidRPr="00162600">
              <w:rPr>
                <w:rFonts w:eastAsia="標楷體"/>
                <w:kern w:val="0"/>
              </w:rPr>
              <w:t>（</w:t>
            </w:r>
            <w:r>
              <w:rPr>
                <w:rFonts w:eastAsia="標楷體" w:hint="eastAsia"/>
                <w:kern w:val="0"/>
              </w:rPr>
              <w:t>三</w:t>
            </w:r>
            <w:r w:rsidRPr="00162600">
              <w:rPr>
                <w:rFonts w:eastAsia="標楷體"/>
                <w:kern w:val="0"/>
              </w:rPr>
              <w:t>）</w:t>
            </w:r>
            <w:r w:rsidR="00105FCC" w:rsidRPr="00105FCC">
              <w:rPr>
                <w:rFonts w:eastAsia="標楷體" w:hint="eastAsia"/>
                <w:kern w:val="0"/>
              </w:rPr>
              <w:t>應有之機具設備：</w:t>
            </w:r>
            <w:r w:rsidR="006F31C4">
              <w:rPr>
                <w:rFonts w:eastAsia="標楷體" w:hint="eastAsia"/>
                <w:kern w:val="0"/>
              </w:rPr>
              <w:t>相關加工機械</w:t>
            </w:r>
            <w:r>
              <w:rPr>
                <w:rFonts w:eastAsia="標楷體" w:hint="eastAsia"/>
                <w:kern w:val="0"/>
              </w:rPr>
              <w:t>。</w:t>
            </w:r>
          </w:p>
          <w:p w:rsidR="00105FCC" w:rsidRDefault="00FA2C6A" w:rsidP="00105FCC">
            <w:pPr>
              <w:rPr>
                <w:rFonts w:eastAsia="標楷體"/>
                <w:kern w:val="0"/>
              </w:rPr>
            </w:pPr>
            <w:r w:rsidRPr="00162600">
              <w:rPr>
                <w:rFonts w:eastAsia="標楷體"/>
                <w:kern w:val="0"/>
              </w:rPr>
              <w:t>（</w:t>
            </w:r>
            <w:r>
              <w:rPr>
                <w:rFonts w:eastAsia="標楷體" w:hint="eastAsia"/>
                <w:kern w:val="0"/>
              </w:rPr>
              <w:t>四</w:t>
            </w:r>
            <w:r w:rsidRPr="00162600">
              <w:rPr>
                <w:rFonts w:eastAsia="標楷體"/>
                <w:kern w:val="0"/>
              </w:rPr>
              <w:t>）</w:t>
            </w:r>
            <w:r w:rsidR="00105FCC" w:rsidRPr="00105FCC">
              <w:rPr>
                <w:rFonts w:eastAsia="標楷體" w:hint="eastAsia"/>
                <w:kern w:val="0"/>
              </w:rPr>
              <w:t>應有之研究或技術人員人數：</w:t>
            </w:r>
            <w:r w:rsidR="008C0AA3">
              <w:rPr>
                <w:rFonts w:eastAsia="標楷體" w:hint="eastAsia"/>
                <w:kern w:val="0"/>
              </w:rPr>
              <w:t>4</w:t>
            </w:r>
            <w:r w:rsidRPr="00105FCC">
              <w:rPr>
                <w:rFonts w:eastAsia="標楷體" w:hint="eastAsia"/>
                <w:kern w:val="0"/>
              </w:rPr>
              <w:t>人</w:t>
            </w:r>
            <w:r w:rsidR="00821BDD">
              <w:rPr>
                <w:rFonts w:eastAsia="標楷體" w:hint="eastAsia"/>
                <w:kern w:val="0"/>
              </w:rPr>
              <w:t>以上</w:t>
            </w:r>
            <w:r>
              <w:rPr>
                <w:rFonts w:eastAsia="標楷體" w:hint="eastAsia"/>
                <w:kern w:val="0"/>
              </w:rPr>
              <w:t>。</w:t>
            </w:r>
          </w:p>
          <w:p w:rsidR="00FA2C6A" w:rsidRPr="00105FCC" w:rsidRDefault="00FA2C6A" w:rsidP="007C6BCE">
            <w:pPr>
              <w:rPr>
                <w:rFonts w:eastAsia="標楷體"/>
                <w:kern w:val="0"/>
              </w:rPr>
            </w:pPr>
            <w:r>
              <w:rPr>
                <w:rFonts w:eastAsia="標楷體"/>
                <w:kern w:val="0"/>
              </w:rPr>
              <w:t>（</w:t>
            </w:r>
            <w:r>
              <w:rPr>
                <w:rFonts w:eastAsia="標楷體" w:hint="eastAsia"/>
                <w:kern w:val="0"/>
              </w:rPr>
              <w:t>五</w:t>
            </w:r>
            <w:r w:rsidRPr="00162600">
              <w:rPr>
                <w:rFonts w:eastAsia="標楷體"/>
                <w:kern w:val="0"/>
              </w:rPr>
              <w:t>）</w:t>
            </w:r>
            <w:r w:rsidRPr="00FA2C6A">
              <w:rPr>
                <w:rFonts w:eastAsia="標楷體" w:hint="eastAsia"/>
                <w:kern w:val="0"/>
              </w:rPr>
              <w:t>實施限制</w:t>
            </w:r>
            <w:r w:rsidRPr="00105FCC">
              <w:rPr>
                <w:rFonts w:eastAsia="標楷體" w:hint="eastAsia"/>
                <w:kern w:val="0"/>
              </w:rPr>
              <w:t>：</w:t>
            </w:r>
            <w:r w:rsidR="006F31C4" w:rsidRPr="006F31C4">
              <w:rPr>
                <w:rFonts w:eastAsia="標楷體" w:hint="eastAsia"/>
                <w:kern w:val="0"/>
              </w:rPr>
              <w:t>金屬、塑膠等非有機資材不適用</w:t>
            </w:r>
            <w:r w:rsidRPr="00FA2C6A">
              <w:rPr>
                <w:rFonts w:eastAsia="標楷體" w:hint="eastAsia"/>
                <w:kern w:val="0"/>
              </w:rPr>
              <w:t>。</w:t>
            </w:r>
          </w:p>
          <w:p w:rsidR="008A55C0" w:rsidRPr="00162600" w:rsidRDefault="00FA2C6A" w:rsidP="00105FCC">
            <w:pPr>
              <w:suppressAutoHyphens/>
              <w:autoSpaceDN w:val="0"/>
              <w:jc w:val="both"/>
              <w:textAlignment w:val="baseline"/>
              <w:rPr>
                <w:kern w:val="3"/>
              </w:rPr>
            </w:pPr>
            <w:r>
              <w:rPr>
                <w:rFonts w:eastAsia="標楷體"/>
                <w:kern w:val="0"/>
              </w:rPr>
              <w:t>（</w:t>
            </w:r>
            <w:r>
              <w:rPr>
                <w:rFonts w:eastAsia="標楷體" w:hint="eastAsia"/>
                <w:kern w:val="0"/>
              </w:rPr>
              <w:t>六</w:t>
            </w:r>
            <w:r w:rsidRPr="00162600">
              <w:rPr>
                <w:rFonts w:eastAsia="標楷體"/>
                <w:kern w:val="0"/>
              </w:rPr>
              <w:t>）</w:t>
            </w:r>
            <w:r w:rsidR="00105FCC" w:rsidRPr="00105FCC">
              <w:rPr>
                <w:rFonts w:eastAsia="標楷體" w:hint="eastAsia"/>
                <w:kern w:val="0"/>
              </w:rPr>
              <w:t>其他：</w:t>
            </w:r>
            <w:r w:rsidR="008C7EAD">
              <w:rPr>
                <w:rFonts w:eastAsia="標楷體" w:hint="eastAsia"/>
                <w:kern w:val="0"/>
              </w:rPr>
              <w:t>無</w:t>
            </w:r>
            <w:r w:rsidR="007C6BCE" w:rsidRPr="00FA2C6A">
              <w:rPr>
                <w:rFonts w:eastAsia="標楷體" w:hint="eastAsia"/>
                <w:kern w:val="0"/>
              </w:rPr>
              <w:t>。</w:t>
            </w:r>
          </w:p>
        </w:tc>
      </w:tr>
      <w:tr w:rsidR="008A55C0" w:rsidRPr="00162600"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B71698" w:rsidP="00E06391">
            <w:pPr>
              <w:suppressAutoHyphens/>
              <w:autoSpaceDN w:val="0"/>
              <w:jc w:val="both"/>
              <w:textAlignment w:val="baseline"/>
              <w:rPr>
                <w:rFonts w:eastAsia="標楷體"/>
                <w:kern w:val="0"/>
              </w:rPr>
            </w:pPr>
            <w:r>
              <w:rPr>
                <w:rFonts w:eastAsia="標楷體" w:hint="eastAsia"/>
                <w:kern w:val="0"/>
              </w:rPr>
              <w:t>七</w:t>
            </w:r>
            <w:r w:rsidR="008A55C0" w:rsidRPr="00162600">
              <w:rPr>
                <w:rFonts w:eastAsia="標楷體"/>
                <w:kern w:val="0"/>
              </w:rPr>
              <w:t>、預期利用範圍及產品：</w:t>
            </w:r>
            <w:r w:rsidR="008C0AA3">
              <w:rPr>
                <w:rFonts w:ascii="標楷體" w:eastAsia="標楷體" w:hAnsi="標楷體" w:hint="eastAsia"/>
              </w:rPr>
              <w:t>供</w:t>
            </w:r>
            <w:r w:rsidR="008C0AA3" w:rsidRPr="00C66586">
              <w:rPr>
                <w:rFonts w:ascii="標楷體" w:eastAsia="標楷體" w:hAnsi="標楷體"/>
              </w:rPr>
              <w:t>各</w:t>
            </w:r>
            <w:r w:rsidR="008C0AA3">
              <w:rPr>
                <w:rFonts w:ascii="標楷體" w:eastAsia="標楷體" w:hAnsi="標楷體" w:hint="eastAsia"/>
              </w:rPr>
              <w:t>產</w:t>
            </w:r>
            <w:r w:rsidR="008C0AA3" w:rsidRPr="00C66586">
              <w:rPr>
                <w:rFonts w:ascii="標楷體" w:eastAsia="標楷體" w:hAnsi="標楷體"/>
              </w:rPr>
              <w:t>地</w:t>
            </w:r>
            <w:r w:rsidR="008C0AA3">
              <w:rPr>
                <w:rFonts w:ascii="標楷體" w:eastAsia="標楷體" w:hAnsi="標楷體" w:hint="eastAsia"/>
              </w:rPr>
              <w:t>之荔枝或龍眼果農及水果產銷班或生產合作社</w:t>
            </w:r>
            <w:r w:rsidR="008C0AA3" w:rsidRPr="00C66586">
              <w:rPr>
                <w:rFonts w:ascii="標楷體" w:eastAsia="標楷體" w:hAnsi="標楷體"/>
              </w:rPr>
              <w:t>等業者就地</w:t>
            </w:r>
            <w:r w:rsidR="008C0AA3">
              <w:rPr>
                <w:rFonts w:ascii="標楷體" w:eastAsia="標楷體" w:hAnsi="標楷體" w:hint="eastAsia"/>
              </w:rPr>
              <w:t>脫粒</w:t>
            </w:r>
            <w:r w:rsidR="008C0AA3" w:rsidRPr="00C66586">
              <w:rPr>
                <w:rFonts w:ascii="標楷體" w:eastAsia="標楷體" w:hAnsi="標楷體"/>
              </w:rPr>
              <w:t>之用</w:t>
            </w:r>
            <w:bookmarkStart w:id="3" w:name="_GoBack"/>
            <w:bookmarkEnd w:id="3"/>
            <w:r w:rsidR="007B2315" w:rsidRPr="007B2315">
              <w:rPr>
                <w:rFonts w:eastAsia="標楷體" w:hint="eastAsia"/>
                <w:kern w:val="0"/>
              </w:rPr>
              <w:t>。</w:t>
            </w:r>
          </w:p>
        </w:tc>
      </w:tr>
      <w:tr w:rsidR="008A55C0" w:rsidRPr="00162600" w:rsidTr="006F31C4">
        <w:trPr>
          <w:trHeight w:val="185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B71698" w:rsidP="00D806F8">
            <w:pPr>
              <w:suppressAutoHyphens/>
              <w:autoSpaceDN w:val="0"/>
              <w:jc w:val="both"/>
              <w:textAlignment w:val="baseline"/>
              <w:rPr>
                <w:rFonts w:eastAsia="標楷體"/>
                <w:kern w:val="0"/>
              </w:rPr>
            </w:pPr>
            <w:r>
              <w:rPr>
                <w:rFonts w:eastAsia="標楷體" w:hint="eastAsia"/>
                <w:kern w:val="0"/>
              </w:rPr>
              <w:t>八</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704F9C">
        <w:trPr>
          <w:trHeight w:val="236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B71698" w:rsidP="00D806F8">
            <w:pPr>
              <w:widowControl/>
              <w:suppressAutoHyphens/>
              <w:autoSpaceDN w:val="0"/>
              <w:textAlignment w:val="baseline"/>
              <w:rPr>
                <w:rFonts w:eastAsia="標楷體"/>
                <w:kern w:val="0"/>
              </w:rPr>
            </w:pPr>
            <w:r>
              <w:rPr>
                <w:rFonts w:eastAsia="標楷體" w:hint="eastAsia"/>
                <w:kern w:val="0"/>
              </w:rPr>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6F31C4"/>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501E38"/>
    <w:multiLevelType w:val="hybridMultilevel"/>
    <w:tmpl w:val="63065ED2"/>
    <w:lvl w:ilvl="0" w:tplc="04090001">
      <w:start w:val="1"/>
      <w:numFmt w:val="bullet"/>
      <w:lvlText w:val=""/>
      <w:lvlJc w:val="left"/>
      <w:pPr>
        <w:ind w:left="965" w:hanging="480"/>
      </w:pPr>
      <w:rPr>
        <w:rFonts w:ascii="Wingdings" w:hAnsi="Wingdings" w:hint="default"/>
      </w:rPr>
    </w:lvl>
    <w:lvl w:ilvl="1" w:tplc="04090003" w:tentative="1">
      <w:start w:val="1"/>
      <w:numFmt w:val="bullet"/>
      <w:lvlText w:val=""/>
      <w:lvlJc w:val="left"/>
      <w:pPr>
        <w:ind w:left="1445" w:hanging="480"/>
      </w:pPr>
      <w:rPr>
        <w:rFonts w:ascii="Wingdings" w:hAnsi="Wingdings" w:hint="default"/>
      </w:rPr>
    </w:lvl>
    <w:lvl w:ilvl="2" w:tplc="04090005" w:tentative="1">
      <w:start w:val="1"/>
      <w:numFmt w:val="bullet"/>
      <w:lvlText w:val=""/>
      <w:lvlJc w:val="left"/>
      <w:pPr>
        <w:ind w:left="1925" w:hanging="480"/>
      </w:pPr>
      <w:rPr>
        <w:rFonts w:ascii="Wingdings" w:hAnsi="Wingdings" w:hint="default"/>
      </w:rPr>
    </w:lvl>
    <w:lvl w:ilvl="3" w:tplc="04090001" w:tentative="1">
      <w:start w:val="1"/>
      <w:numFmt w:val="bullet"/>
      <w:lvlText w:val=""/>
      <w:lvlJc w:val="left"/>
      <w:pPr>
        <w:ind w:left="2405" w:hanging="480"/>
      </w:pPr>
      <w:rPr>
        <w:rFonts w:ascii="Wingdings" w:hAnsi="Wingdings" w:hint="default"/>
      </w:rPr>
    </w:lvl>
    <w:lvl w:ilvl="4" w:tplc="04090003" w:tentative="1">
      <w:start w:val="1"/>
      <w:numFmt w:val="bullet"/>
      <w:lvlText w:val=""/>
      <w:lvlJc w:val="left"/>
      <w:pPr>
        <w:ind w:left="2885" w:hanging="480"/>
      </w:pPr>
      <w:rPr>
        <w:rFonts w:ascii="Wingdings" w:hAnsi="Wingdings" w:hint="default"/>
      </w:rPr>
    </w:lvl>
    <w:lvl w:ilvl="5" w:tplc="04090005" w:tentative="1">
      <w:start w:val="1"/>
      <w:numFmt w:val="bullet"/>
      <w:lvlText w:val=""/>
      <w:lvlJc w:val="left"/>
      <w:pPr>
        <w:ind w:left="3365" w:hanging="480"/>
      </w:pPr>
      <w:rPr>
        <w:rFonts w:ascii="Wingdings" w:hAnsi="Wingdings" w:hint="default"/>
      </w:rPr>
    </w:lvl>
    <w:lvl w:ilvl="6" w:tplc="04090001" w:tentative="1">
      <w:start w:val="1"/>
      <w:numFmt w:val="bullet"/>
      <w:lvlText w:val=""/>
      <w:lvlJc w:val="left"/>
      <w:pPr>
        <w:ind w:left="3845" w:hanging="480"/>
      </w:pPr>
      <w:rPr>
        <w:rFonts w:ascii="Wingdings" w:hAnsi="Wingdings" w:hint="default"/>
      </w:rPr>
    </w:lvl>
    <w:lvl w:ilvl="7" w:tplc="04090003" w:tentative="1">
      <w:start w:val="1"/>
      <w:numFmt w:val="bullet"/>
      <w:lvlText w:val=""/>
      <w:lvlJc w:val="left"/>
      <w:pPr>
        <w:ind w:left="4325" w:hanging="480"/>
      </w:pPr>
      <w:rPr>
        <w:rFonts w:ascii="Wingdings" w:hAnsi="Wingdings" w:hint="default"/>
      </w:rPr>
    </w:lvl>
    <w:lvl w:ilvl="8" w:tplc="04090005" w:tentative="1">
      <w:start w:val="1"/>
      <w:numFmt w:val="bullet"/>
      <w:lvlText w:val=""/>
      <w:lvlJc w:val="left"/>
      <w:pPr>
        <w:ind w:left="4805"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E6DDB"/>
    <w:rsid w:val="000F503B"/>
    <w:rsid w:val="00105FCC"/>
    <w:rsid w:val="001373AA"/>
    <w:rsid w:val="00144384"/>
    <w:rsid w:val="001544BF"/>
    <w:rsid w:val="00171658"/>
    <w:rsid w:val="001E6524"/>
    <w:rsid w:val="001F370B"/>
    <w:rsid w:val="00221F7C"/>
    <w:rsid w:val="002924AB"/>
    <w:rsid w:val="0037690E"/>
    <w:rsid w:val="003A7ECA"/>
    <w:rsid w:val="003C1649"/>
    <w:rsid w:val="003D3782"/>
    <w:rsid w:val="00440656"/>
    <w:rsid w:val="004F3B75"/>
    <w:rsid w:val="00542CD6"/>
    <w:rsid w:val="00657272"/>
    <w:rsid w:val="00680832"/>
    <w:rsid w:val="006F0880"/>
    <w:rsid w:val="006F0F71"/>
    <w:rsid w:val="006F31C4"/>
    <w:rsid w:val="00704F9C"/>
    <w:rsid w:val="00756722"/>
    <w:rsid w:val="0075776D"/>
    <w:rsid w:val="007B2315"/>
    <w:rsid w:val="007C6BCE"/>
    <w:rsid w:val="007D4799"/>
    <w:rsid w:val="0081384F"/>
    <w:rsid w:val="00821BDD"/>
    <w:rsid w:val="008A55C0"/>
    <w:rsid w:val="008C0AA3"/>
    <w:rsid w:val="008C7EAD"/>
    <w:rsid w:val="008D7B46"/>
    <w:rsid w:val="009314C7"/>
    <w:rsid w:val="00936834"/>
    <w:rsid w:val="00963525"/>
    <w:rsid w:val="009A479C"/>
    <w:rsid w:val="009A6A82"/>
    <w:rsid w:val="009E4777"/>
    <w:rsid w:val="00AA22C1"/>
    <w:rsid w:val="00B17437"/>
    <w:rsid w:val="00B71698"/>
    <w:rsid w:val="00BA5FCB"/>
    <w:rsid w:val="00BD5990"/>
    <w:rsid w:val="00C05A0A"/>
    <w:rsid w:val="00C524EC"/>
    <w:rsid w:val="00C64A3A"/>
    <w:rsid w:val="00C67847"/>
    <w:rsid w:val="00CE3DAC"/>
    <w:rsid w:val="00CE72A2"/>
    <w:rsid w:val="00D27F2F"/>
    <w:rsid w:val="00D426C0"/>
    <w:rsid w:val="00D6488C"/>
    <w:rsid w:val="00D65F8C"/>
    <w:rsid w:val="00D776C9"/>
    <w:rsid w:val="00D806F8"/>
    <w:rsid w:val="00DC1975"/>
    <w:rsid w:val="00DC7894"/>
    <w:rsid w:val="00DE0D57"/>
    <w:rsid w:val="00E06391"/>
    <w:rsid w:val="00E2140B"/>
    <w:rsid w:val="00E23833"/>
    <w:rsid w:val="00E536C6"/>
    <w:rsid w:val="00EA7480"/>
    <w:rsid w:val="00EB039E"/>
    <w:rsid w:val="00F0734D"/>
    <w:rsid w:val="00F32B13"/>
    <w:rsid w:val="00F674D0"/>
    <w:rsid w:val="00F83203"/>
    <w:rsid w:val="00F93B6D"/>
    <w:rsid w:val="00FA2C6A"/>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6C83D7B"/>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cp:lastPrinted>2020-11-19T02:23:00Z</cp:lastPrinted>
  <dcterms:created xsi:type="dcterms:W3CDTF">2020-11-30T02:05:00Z</dcterms:created>
  <dcterms:modified xsi:type="dcterms:W3CDTF">2020-11-30T06:22:00Z</dcterms:modified>
</cp:coreProperties>
</file>