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3D3782">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3D3782">
              <w:rPr>
                <w:rFonts w:ascii="Lucida Sans" w:eastAsia="標楷體" w:hAnsi="Lucida Sans" w:cs="Lucida Sans" w:hint="eastAsia"/>
                <w:kern w:val="0"/>
              </w:rPr>
              <w:t>11</w:t>
            </w:r>
            <w:r w:rsidRPr="00162600">
              <w:rPr>
                <w:rFonts w:ascii="Lucida Sans" w:eastAsia="標楷體" w:hAnsi="Lucida Sans" w:cs="Lucida Sans"/>
                <w:kern w:val="0"/>
              </w:rPr>
              <w:t>/</w:t>
            </w:r>
            <w:r w:rsidR="00FB016D">
              <w:rPr>
                <w:rFonts w:ascii="Lucida Sans" w:eastAsia="標楷體" w:hAnsi="Lucida Sans" w:cs="Lucida Sans" w:hint="eastAsia"/>
                <w:kern w:val="0"/>
              </w:rPr>
              <w:t>16</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885A19">
              <w:rPr>
                <w:rFonts w:ascii="Lucida Sans" w:eastAsia="標楷體" w:hAnsi="Lucida Sans" w:cs="Lucida Sans" w:hint="eastAsia"/>
                <w:b/>
                <w:kern w:val="0"/>
                <w:sz w:val="28"/>
                <w:szCs w:val="28"/>
              </w:rPr>
              <w:t>39</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C524EC" w:rsidRDefault="00C524EC" w:rsidP="00C524EC">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C524EC">
              <w:rPr>
                <w:rFonts w:ascii="標楷體" w:eastAsia="標楷體" w:hAnsi="標楷體"/>
                <w:kern w:val="0"/>
              </w:rPr>
              <w:t>技術名稱：</w:t>
            </w:r>
            <w:r w:rsidR="00885A19" w:rsidRPr="0095446B">
              <w:rPr>
                <w:rFonts w:ascii="Lucida Sans" w:eastAsia="標楷體" w:hAnsi="Lucida Sans" w:cs="Lucida Sans" w:hint="eastAsia"/>
              </w:rPr>
              <w:t>真空乾燥機中即時檢測農產品含水率的技術裝置</w:t>
            </w:r>
          </w:p>
          <w:p w:rsidR="001E6524" w:rsidRPr="00C524EC" w:rsidRDefault="00C524EC" w:rsidP="00C524EC">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C524EC">
              <w:rPr>
                <w:rFonts w:ascii="標楷體" w:eastAsia="標楷體" w:hAnsi="標楷體"/>
                <w:kern w:val="3"/>
              </w:rPr>
              <w:t>技術來源：</w:t>
            </w:r>
            <w:r w:rsidR="006F31C4" w:rsidRPr="006F31C4">
              <w:rPr>
                <w:rFonts w:eastAsia="標楷體" w:hint="eastAsia"/>
              </w:rPr>
              <w:t>農委會</w:t>
            </w:r>
          </w:p>
          <w:p w:rsidR="00FB016D" w:rsidRDefault="00C524EC" w:rsidP="00FB016D">
            <w:pPr>
              <w:suppressAutoHyphens/>
              <w:autoSpaceDN w:val="0"/>
              <w:jc w:val="both"/>
              <w:textAlignment w:val="baseline"/>
              <w:rPr>
                <w:rFonts w:ascii="標楷體" w:eastAsia="標楷體" w:hAnsi="標楷體"/>
                <w:kern w:val="3"/>
                <w:lang w:eastAsia="zh-HK"/>
              </w:rPr>
            </w:pPr>
            <w:r>
              <w:rPr>
                <w:rFonts w:eastAsia="標楷體" w:hint="eastAsia"/>
              </w:rPr>
              <w:t>三、</w:t>
            </w:r>
            <w:r w:rsidR="00FB016D" w:rsidRPr="00C524EC">
              <w:rPr>
                <w:rFonts w:ascii="標楷體" w:eastAsia="標楷體" w:hAnsi="標楷體"/>
                <w:kern w:val="3"/>
              </w:rPr>
              <w:t>技術內容：</w:t>
            </w:r>
            <w:r w:rsidR="003D3782" w:rsidRPr="003D3782">
              <w:rPr>
                <w:rFonts w:eastAsia="標楷體" w:hint="eastAsia"/>
              </w:rPr>
              <w:t xml:space="preserve"> </w:t>
            </w:r>
          </w:p>
          <w:p w:rsidR="008A55C0" w:rsidRPr="00FB016D" w:rsidRDefault="00885A19" w:rsidP="00FB016D">
            <w:pPr>
              <w:suppressAutoHyphens/>
              <w:autoSpaceDN w:val="0"/>
              <w:jc w:val="both"/>
              <w:textAlignment w:val="baseline"/>
              <w:rPr>
                <w:rFonts w:ascii="標楷體" w:eastAsia="標楷體" w:hAnsi="標楷體"/>
                <w:kern w:val="3"/>
                <w:lang w:eastAsia="zh-HK"/>
              </w:rPr>
            </w:pPr>
            <w:r w:rsidRPr="00885A19">
              <w:rPr>
                <w:rFonts w:eastAsia="標楷體" w:hAnsi="標楷體" w:hint="eastAsia"/>
                <w:shd w:val="clear" w:color="auto" w:fill="FFFFFF"/>
              </w:rPr>
              <w:t>本創作提供一種即時檢測真空乾燥設備中農產品含水率的技術與裝置，其包含有一機台、一秤重感測機構、一無線發射器以及一終端處理器。該機台具有一腔體以及一轉動架旋轉設於該腔體內部，用以輸送農產品；該秤重感測機構設於該機台之轉動架，該秤重感測機構用以供農產品置放及感測農產品的重量，以產生一重量資訊；該無線發射器電連接該秤重感測機構，用以將該重量資訊無線傳輸；該終端處理器無線連接該無線發射器，用以接收該重量資訊並轉換成一農產品含水率，讓操作者能即時觀察農產品的乾燥程度，節省</w:t>
            </w:r>
            <w:r>
              <w:rPr>
                <w:rFonts w:eastAsia="標楷體" w:hAnsi="標楷體" w:hint="eastAsia"/>
                <w:shd w:val="clear" w:color="auto" w:fill="FFFFFF"/>
              </w:rPr>
              <w:t>取出檢測工序，且操作者在管理上更為便利</w:t>
            </w:r>
            <w:r w:rsidR="00FB016D" w:rsidRPr="00FB016D">
              <w:rPr>
                <w:rFonts w:eastAsia="標楷體" w:hAnsi="標楷體" w:hint="eastAsia"/>
                <w:shd w:val="clear" w:color="auto" w:fill="FFFFFF"/>
              </w:rPr>
              <w:t>。</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6F31C4">
              <w:rPr>
                <w:rFonts w:ascii="Lucida Sans" w:eastAsia="標楷體" w:hAnsi="Lucida Sans" w:cs="Lucida Sans" w:hint="eastAsia"/>
              </w:rPr>
              <w:t>生機</w:t>
            </w:r>
            <w:r w:rsidR="007C6BCE">
              <w:rPr>
                <w:rFonts w:ascii="Lucida Sans" w:eastAsia="標楷體" w:hAnsi="Lucida Sans" w:cs="Lucida Sans" w:hint="eastAsia"/>
              </w:rPr>
              <w:t>系</w:t>
            </w:r>
          </w:p>
          <w:p w:rsidR="008A55C0" w:rsidRPr="00162600" w:rsidRDefault="008A55C0" w:rsidP="00FB016D">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B016D" w:rsidRPr="00FB016D">
              <w:rPr>
                <w:rFonts w:ascii="Lucida Sans" w:eastAsia="標楷體" w:hAnsi="Lucida Sans" w:cs="Lucida Sans" w:hint="eastAsia"/>
              </w:rPr>
              <w:t>盛中德</w:t>
            </w:r>
            <w:r w:rsidR="00FB016D" w:rsidRPr="001373AA">
              <w:rPr>
                <w:rFonts w:ascii="Lucida Sans" w:eastAsia="標楷體" w:hAnsi="Lucida Sans" w:cs="Lucida Sans" w:hint="eastAsia"/>
                <w:kern w:val="3"/>
              </w:rPr>
              <w:t>教授</w:t>
            </w:r>
            <w:r w:rsidR="00FB016D" w:rsidRPr="00FB016D">
              <w:rPr>
                <w:rFonts w:ascii="Lucida Sans" w:eastAsia="標楷體" w:hAnsi="Lucida Sans" w:cs="Lucida Sans" w:hint="eastAsia"/>
              </w:rPr>
              <w:t>、黃明仕、施銘華</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FB016D" w:rsidP="008C7EAD">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FB016D" w:rsidRPr="00A44DFE">
              <w:rPr>
                <w:rFonts w:eastAsia="標楷體" w:hint="eastAsia"/>
                <w:kern w:val="0"/>
              </w:rPr>
              <w:t>農林機械製造經銷業</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885A19" w:rsidRPr="00A44DFE">
              <w:rPr>
                <w:rFonts w:eastAsia="標楷體" w:hint="eastAsia"/>
                <w:kern w:val="0"/>
              </w:rPr>
              <w:t>機械加工、製造、組裝技術</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FB016D" w:rsidRPr="00A44DFE">
              <w:rPr>
                <w:rFonts w:eastAsia="標楷體" w:hint="eastAsia"/>
                <w:kern w:val="0"/>
              </w:rPr>
              <w:t>切割機、電焊機、鑽孔機</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FB016D">
              <w:rPr>
                <w:rFonts w:eastAsia="標楷體" w:hint="eastAsia"/>
                <w:kern w:val="0"/>
              </w:rPr>
              <w:t>無</w:t>
            </w:r>
            <w:r w:rsidR="00FB016D" w:rsidRPr="00FA2C6A">
              <w:rPr>
                <w:rFonts w:eastAsia="標楷體" w:hint="eastAsia"/>
                <w:kern w:val="0"/>
              </w:rPr>
              <w:t>。</w:t>
            </w:r>
          </w:p>
          <w:p w:rsidR="00FA2C6A" w:rsidRPr="00105FCC" w:rsidRDefault="00FA2C6A" w:rsidP="007C6BCE">
            <w:pPr>
              <w:rPr>
                <w:rFonts w:eastAsia="標楷體"/>
                <w:kern w:val="0"/>
              </w:rPr>
            </w:pPr>
            <w:r>
              <w:rPr>
                <w:rFonts w:eastAsia="標楷體"/>
                <w:kern w:val="0"/>
              </w:rPr>
              <w:t>（</w:t>
            </w:r>
            <w:r>
              <w:rPr>
                <w:rFonts w:eastAsia="標楷體" w:hint="eastAsia"/>
                <w:kern w:val="0"/>
              </w:rPr>
              <w:t>五</w:t>
            </w:r>
            <w:r w:rsidRPr="00162600">
              <w:rPr>
                <w:rFonts w:eastAsia="標楷體"/>
                <w:kern w:val="0"/>
              </w:rPr>
              <w:t>）</w:t>
            </w:r>
            <w:r w:rsidRPr="00FA2C6A">
              <w:rPr>
                <w:rFonts w:eastAsia="標楷體" w:hint="eastAsia"/>
                <w:kern w:val="0"/>
              </w:rPr>
              <w:t>實施限制</w:t>
            </w:r>
            <w:r w:rsidRPr="00105FCC">
              <w:rPr>
                <w:rFonts w:eastAsia="標楷體" w:hint="eastAsia"/>
                <w:kern w:val="0"/>
              </w:rPr>
              <w:t>：</w:t>
            </w:r>
            <w:r w:rsidR="00FB016D">
              <w:rPr>
                <w:rFonts w:eastAsia="標楷體" w:hint="eastAsia"/>
                <w:kern w:val="0"/>
              </w:rPr>
              <w:t>無</w:t>
            </w:r>
            <w:r w:rsidR="00FB016D" w:rsidRPr="00FA2C6A">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r w:rsidR="007C6BCE" w:rsidRPr="00FA2C6A">
              <w:rPr>
                <w:rFonts w:eastAsia="標楷體" w:hint="eastAsia"/>
                <w:kern w:val="0"/>
              </w:rPr>
              <w:t>。</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FB016D" w:rsidP="00E06391">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885A19" w:rsidRPr="00D67767">
              <w:rPr>
                <w:rFonts w:eastAsia="標楷體" w:hint="eastAsia"/>
                <w:kern w:val="0"/>
              </w:rPr>
              <w:t>國內</w:t>
            </w:r>
            <w:r w:rsidR="00885A19">
              <w:rPr>
                <w:rFonts w:eastAsia="標楷體" w:hint="eastAsia"/>
                <w:kern w:val="0"/>
              </w:rPr>
              <w:t>外</w:t>
            </w:r>
            <w:r w:rsidR="00885A19" w:rsidRPr="00D67767">
              <w:rPr>
                <w:rFonts w:eastAsia="標楷體" w:hint="eastAsia"/>
                <w:kern w:val="0"/>
              </w:rPr>
              <w:t>相關的</w:t>
            </w:r>
            <w:r w:rsidR="00885A19">
              <w:rPr>
                <w:rFonts w:eastAsia="標楷體" w:hint="eastAsia"/>
                <w:kern w:val="0"/>
              </w:rPr>
              <w:t>農產品乾燥機等產品</w:t>
            </w:r>
            <w:bookmarkStart w:id="3" w:name="_GoBack"/>
            <w:bookmarkEnd w:id="3"/>
            <w:r w:rsidR="007B2315" w:rsidRPr="007B2315">
              <w:rPr>
                <w:rFonts w:eastAsia="標楷體" w:hint="eastAsia"/>
                <w:kern w:val="0"/>
              </w:rPr>
              <w:t>。</w:t>
            </w:r>
          </w:p>
        </w:tc>
      </w:tr>
      <w:tr w:rsidR="008A55C0" w:rsidRPr="00162600" w:rsidTr="006F31C4">
        <w:trPr>
          <w:trHeight w:val="185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FB016D" w:rsidP="00D806F8">
            <w:pPr>
              <w:widowControl/>
              <w:suppressAutoHyphens/>
              <w:autoSpaceDN w:val="0"/>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6F31C4"/>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501E38"/>
    <w:multiLevelType w:val="hybridMultilevel"/>
    <w:tmpl w:val="63065ED2"/>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5FCC"/>
    <w:rsid w:val="001373AA"/>
    <w:rsid w:val="00144384"/>
    <w:rsid w:val="001544BF"/>
    <w:rsid w:val="00171658"/>
    <w:rsid w:val="00181B02"/>
    <w:rsid w:val="001E6524"/>
    <w:rsid w:val="001F370B"/>
    <w:rsid w:val="00221F7C"/>
    <w:rsid w:val="002642F4"/>
    <w:rsid w:val="002924AB"/>
    <w:rsid w:val="0037690E"/>
    <w:rsid w:val="003A7ECA"/>
    <w:rsid w:val="003C1649"/>
    <w:rsid w:val="003D3782"/>
    <w:rsid w:val="00440656"/>
    <w:rsid w:val="004F3B75"/>
    <w:rsid w:val="00542CD6"/>
    <w:rsid w:val="00657272"/>
    <w:rsid w:val="00680832"/>
    <w:rsid w:val="006F0880"/>
    <w:rsid w:val="006F0F71"/>
    <w:rsid w:val="006F31C4"/>
    <w:rsid w:val="00704F9C"/>
    <w:rsid w:val="00756722"/>
    <w:rsid w:val="0075776D"/>
    <w:rsid w:val="007B2315"/>
    <w:rsid w:val="007C6BCE"/>
    <w:rsid w:val="007D4799"/>
    <w:rsid w:val="0081384F"/>
    <w:rsid w:val="00885A19"/>
    <w:rsid w:val="008A55C0"/>
    <w:rsid w:val="008C7EAD"/>
    <w:rsid w:val="008D7B46"/>
    <w:rsid w:val="009314C7"/>
    <w:rsid w:val="00936834"/>
    <w:rsid w:val="00963525"/>
    <w:rsid w:val="009A479C"/>
    <w:rsid w:val="009A6A82"/>
    <w:rsid w:val="009C0977"/>
    <w:rsid w:val="00AA22C1"/>
    <w:rsid w:val="00B17437"/>
    <w:rsid w:val="00B71698"/>
    <w:rsid w:val="00BA5FCB"/>
    <w:rsid w:val="00BD5990"/>
    <w:rsid w:val="00C05A0A"/>
    <w:rsid w:val="00C524EC"/>
    <w:rsid w:val="00CE3DAC"/>
    <w:rsid w:val="00CE72A2"/>
    <w:rsid w:val="00D27F2F"/>
    <w:rsid w:val="00D426C0"/>
    <w:rsid w:val="00D6488C"/>
    <w:rsid w:val="00D65F8C"/>
    <w:rsid w:val="00D776C9"/>
    <w:rsid w:val="00D806F8"/>
    <w:rsid w:val="00DC7894"/>
    <w:rsid w:val="00DE0D57"/>
    <w:rsid w:val="00E06391"/>
    <w:rsid w:val="00E2140B"/>
    <w:rsid w:val="00E23833"/>
    <w:rsid w:val="00E536C6"/>
    <w:rsid w:val="00EA7480"/>
    <w:rsid w:val="00EB039E"/>
    <w:rsid w:val="00EF62E1"/>
    <w:rsid w:val="00F0734D"/>
    <w:rsid w:val="00F32B13"/>
    <w:rsid w:val="00F674D0"/>
    <w:rsid w:val="00F83203"/>
    <w:rsid w:val="00F93B6D"/>
    <w:rsid w:val="00FA2C6A"/>
    <w:rsid w:val="00FB01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3B776C3"/>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2020-11-16T00:44:00Z</cp:lastPrinted>
  <dcterms:created xsi:type="dcterms:W3CDTF">2020-11-16T00:44:00Z</dcterms:created>
  <dcterms:modified xsi:type="dcterms:W3CDTF">2020-11-16T00:45:00Z</dcterms:modified>
</cp:coreProperties>
</file>