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>
              <w:rPr>
                <w:rFonts w:ascii="Lucida Sans" w:eastAsia="標楷體" w:hAnsi="Lucida Sans" w:cs="Lucida Sans" w:hint="eastAsia"/>
                <w:kern w:val="0"/>
              </w:rPr>
              <w:t>17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01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775C1">
        <w:trPr>
          <w:trHeight w:val="240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14438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8A55C0" w:rsidRDefault="008A55C0" w:rsidP="007D4799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一、</w:t>
            </w:r>
            <w:r w:rsidRPr="00162600">
              <w:rPr>
                <w:rFonts w:eastAsia="標楷體"/>
                <w:kern w:val="0"/>
              </w:rPr>
              <w:t>技術名稱：</w:t>
            </w:r>
            <w:r w:rsidRPr="00056394">
              <w:rPr>
                <w:rFonts w:eastAsia="標楷體" w:hint="eastAsia"/>
                <w:kern w:val="0"/>
              </w:rPr>
              <w:t>低鉀含量蔬菜栽培方法</w:t>
            </w:r>
          </w:p>
          <w:p w:rsidR="008A55C0" w:rsidRPr="00056394" w:rsidRDefault="008A55C0" w:rsidP="008775C1">
            <w:pPr>
              <w:spacing w:line="300" w:lineRule="exact"/>
              <w:jc w:val="both"/>
              <w:rPr>
                <w:kern w:val="3"/>
              </w:rPr>
            </w:pPr>
            <w:r>
              <w:rPr>
                <w:rFonts w:eastAsia="標楷體" w:hint="eastAsia"/>
              </w:rPr>
              <w:t>二、專利資訊：申請中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校內編號：</w:t>
            </w:r>
            <w:r w:rsidRPr="00382620">
              <w:rPr>
                <w:rFonts w:eastAsia="標楷體"/>
                <w:color w:val="000000"/>
              </w:rPr>
              <w:t>107PC003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</w:rPr>
              <w:t>)</w:t>
            </w:r>
          </w:p>
          <w:p w:rsidR="008A55C0" w:rsidRPr="00162600" w:rsidRDefault="006F0F71" w:rsidP="008775C1">
            <w:pPr>
              <w:suppressAutoHyphens/>
              <w:autoSpaceDN w:val="0"/>
              <w:ind w:left="480" w:hanging="48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3"/>
                <w:lang w:eastAsia="zh-HK"/>
              </w:rPr>
              <w:t>三</w:t>
            </w:r>
            <w:r w:rsidR="008A55C0" w:rsidRPr="00162600">
              <w:rPr>
                <w:rFonts w:eastAsia="標楷體"/>
                <w:kern w:val="3"/>
              </w:rPr>
              <w:t>、技術來源：</w:t>
            </w:r>
            <w:r w:rsidR="008A55C0">
              <w:rPr>
                <w:rFonts w:eastAsia="標楷體" w:hint="eastAsia"/>
                <w:kern w:val="3"/>
                <w:lang w:eastAsia="zh-HK"/>
              </w:rPr>
              <w:t>科技部</w:t>
            </w:r>
          </w:p>
          <w:p w:rsidR="008A55C0" w:rsidRPr="00162600" w:rsidRDefault="006F0F71" w:rsidP="008775C1">
            <w:pPr>
              <w:suppressAutoHyphens/>
              <w:autoSpaceDN w:val="0"/>
              <w:spacing w:line="320" w:lineRule="exact"/>
              <w:ind w:left="480" w:hanging="48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四</w:t>
            </w:r>
            <w:r w:rsidR="008A55C0" w:rsidRPr="00162600">
              <w:rPr>
                <w:rFonts w:ascii="標楷體" w:eastAsia="標楷體" w:hAnsi="標楷體"/>
                <w:kern w:val="3"/>
              </w:rPr>
              <w:t>、技術內容：</w:t>
            </w:r>
          </w:p>
          <w:p w:rsidR="008A55C0" w:rsidRPr="00162600" w:rsidRDefault="008A55C0" w:rsidP="00D426C0">
            <w:pPr>
              <w:autoSpaceDN w:val="0"/>
              <w:spacing w:after="240" w:line="320" w:lineRule="exact"/>
              <w:jc w:val="both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Pr="00A430C9">
              <w:rPr>
                <w:rFonts w:eastAsia="標楷體" w:hint="eastAsia"/>
                <w:bCs/>
              </w:rPr>
              <w:t>本技術提供一種栽培低鉀蔬菜之方法</w:t>
            </w:r>
            <w:r w:rsidRPr="00A430C9">
              <w:rPr>
                <w:rFonts w:eastAsia="標楷體"/>
                <w:snapToGrid w:val="0"/>
                <w:color w:val="000000"/>
                <w:kern w:val="0"/>
              </w:rPr>
              <w:t>，</w:t>
            </w:r>
            <w:r w:rsidRPr="00A430C9">
              <w:rPr>
                <w:rFonts w:eastAsia="標楷體" w:hint="eastAsia"/>
                <w:bCs/>
              </w:rPr>
              <w:t>為</w:t>
            </w:r>
            <w:r>
              <w:rPr>
                <w:rFonts w:ascii="標楷體" w:eastAsia="標楷體" w:hAnsi="標楷體" w:hint="eastAsia"/>
                <w:color w:val="000000"/>
              </w:rPr>
              <w:t>透過營養調控</w:t>
            </w:r>
            <w:r w:rsidRPr="00EE5C8E">
              <w:rPr>
                <w:rFonts w:ascii="標楷體" w:eastAsia="標楷體" w:hAnsi="標楷體" w:hint="eastAsia"/>
                <w:color w:val="000000"/>
              </w:rPr>
              <w:t>與搭配固態介質</w:t>
            </w:r>
            <w:r>
              <w:rPr>
                <w:rFonts w:ascii="標楷體" w:eastAsia="標楷體" w:hAnsi="標楷體" w:hint="eastAsia"/>
                <w:color w:val="000000"/>
              </w:rPr>
              <w:t>進行</w:t>
            </w:r>
            <w:r w:rsidRPr="00EE5C8E">
              <w:rPr>
                <w:rFonts w:ascii="標楷體" w:eastAsia="標楷體" w:hAnsi="標楷體" w:hint="eastAsia"/>
                <w:color w:val="000000"/>
              </w:rPr>
              <w:t>栽培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eastAsia="標楷體" w:hint="eastAsia"/>
              </w:rPr>
              <w:t>此方法可使蔬菜於栽培過程中不致產生缺鉀離子之生理障礙，並穩定蔬菜收成量。</w:t>
            </w:r>
            <w:r w:rsidRPr="00A430C9">
              <w:rPr>
                <w:rFonts w:eastAsia="標楷體"/>
                <w:snapToGrid w:val="0"/>
                <w:color w:val="000000"/>
                <w:kern w:val="0"/>
              </w:rPr>
              <w:t>以</w:t>
            </w:r>
            <w:r w:rsidRPr="00A430C9">
              <w:rPr>
                <w:rFonts w:eastAsia="標楷體" w:hint="eastAsia"/>
                <w:snapToGrid w:val="0"/>
                <w:color w:val="000000"/>
                <w:kern w:val="0"/>
              </w:rPr>
              <w:t>本</w:t>
            </w:r>
            <w:r w:rsidRPr="00A430C9">
              <w:rPr>
                <w:rFonts w:eastAsia="標楷體"/>
                <w:snapToGrid w:val="0"/>
                <w:color w:val="000000"/>
                <w:kern w:val="0"/>
              </w:rPr>
              <w:t>方法所栽培之蔬菜</w:t>
            </w:r>
            <w:r w:rsidRPr="00A430C9">
              <w:rPr>
                <w:rFonts w:eastAsia="標楷體" w:hint="eastAsia"/>
                <w:snapToGrid w:val="0"/>
                <w:color w:val="000000"/>
                <w:kern w:val="0"/>
              </w:rPr>
              <w:t>，</w:t>
            </w:r>
            <w:r>
              <w:rPr>
                <w:rFonts w:eastAsia="標楷體" w:hint="eastAsia"/>
                <w:snapToGrid w:val="0"/>
                <w:color w:val="000000"/>
                <w:kern w:val="0"/>
              </w:rPr>
              <w:t>其</w:t>
            </w:r>
            <w:r>
              <w:rPr>
                <w:rFonts w:eastAsia="標楷體" w:hint="eastAsia"/>
              </w:rPr>
              <w:t>鉀含量為未經過前述之低鉀含量蔬菜的栽培方法栽培之</w:t>
            </w:r>
            <w:r w:rsidRPr="00A430C9">
              <w:rPr>
                <w:rFonts w:eastAsia="標楷體" w:hint="eastAsia"/>
              </w:rPr>
              <w:t>蔬菜的鉀含量的</w:t>
            </w:r>
            <w:r w:rsidRPr="00A430C9">
              <w:rPr>
                <w:rFonts w:eastAsia="標楷體"/>
              </w:rPr>
              <w:t>30%</w:t>
            </w:r>
            <w:r w:rsidRPr="00A430C9">
              <w:rPr>
                <w:rFonts w:eastAsia="標楷體" w:hint="eastAsia"/>
              </w:rPr>
              <w:t>至</w:t>
            </w:r>
            <w:r w:rsidRPr="00A430C9">
              <w:rPr>
                <w:rFonts w:eastAsia="標楷體" w:hint="eastAsia"/>
              </w:rPr>
              <w:t>60%</w:t>
            </w:r>
            <w:r>
              <w:rPr>
                <w:rFonts w:eastAsia="標楷體" w:hint="eastAsia"/>
              </w:rPr>
              <w:t>以下，</w:t>
            </w:r>
            <w:r w:rsidRPr="00A430C9">
              <w:rPr>
                <w:rFonts w:ascii="標楷體" w:eastAsia="標楷體" w:hAnsi="標楷體" w:hint="eastAsia"/>
              </w:rPr>
              <w:t>且硝酸鹽含量低於未經過前述之栽培方法</w:t>
            </w:r>
            <w:r>
              <w:rPr>
                <w:rFonts w:ascii="標楷體" w:eastAsia="標楷體" w:hAnsi="標楷體" w:hint="eastAsia"/>
              </w:rPr>
              <w:t>所栽培之蔬菜的</w:t>
            </w:r>
            <w:r w:rsidRPr="00A430C9">
              <w:rPr>
                <w:rFonts w:ascii="標楷體" w:eastAsia="標楷體" w:hAnsi="標楷體" w:hint="eastAsia"/>
              </w:rPr>
              <w:t>硝酸鹽含量</w:t>
            </w:r>
            <w:r>
              <w:rPr>
                <w:rFonts w:ascii="標楷體" w:eastAsia="標楷體" w:hAnsi="標楷體" w:hint="eastAsia"/>
              </w:rPr>
              <w:t>。</w:t>
            </w:r>
            <w:r w:rsidRPr="00EE5C8E">
              <w:rPr>
                <w:rFonts w:ascii="標楷體" w:eastAsia="標楷體" w:hAnsi="標楷體" w:hint="eastAsia"/>
                <w:color w:val="000000"/>
              </w:rPr>
              <w:t>本技術</w:t>
            </w:r>
            <w:r>
              <w:rPr>
                <w:rFonts w:ascii="標楷體" w:eastAsia="標楷體" w:hAnsi="標楷體" w:hint="eastAsia"/>
                <w:color w:val="000000"/>
              </w:rPr>
              <w:t>已有</w:t>
            </w:r>
            <w:r>
              <w:rPr>
                <w:rFonts w:eastAsia="標楷體" w:hint="eastAsia"/>
                <w:bCs/>
                <w:color w:val="000000"/>
              </w:rPr>
              <w:t>成功</w:t>
            </w:r>
            <w:r w:rsidRPr="00D04695">
              <w:rPr>
                <w:rFonts w:eastAsia="標楷體"/>
                <w:bCs/>
                <w:color w:val="000000"/>
              </w:rPr>
              <w:t>栽培並量產出</w:t>
            </w:r>
            <w:r w:rsidRPr="00D04695">
              <w:rPr>
                <w:rFonts w:eastAsia="標楷體"/>
                <w:bCs/>
                <w:color w:val="000000"/>
              </w:rPr>
              <w:t>6</w:t>
            </w:r>
            <w:r w:rsidRPr="00D04695">
              <w:rPr>
                <w:rFonts w:eastAsia="標楷體"/>
                <w:bCs/>
                <w:color w:val="000000"/>
              </w:rPr>
              <w:t>種低鉀含量蔬菜</w:t>
            </w:r>
            <w:r>
              <w:rPr>
                <w:rFonts w:eastAsia="標楷體" w:hint="eastAsia"/>
                <w:bCs/>
                <w:color w:val="000000"/>
              </w:rPr>
              <w:t>，包含</w:t>
            </w:r>
            <w:r w:rsidRPr="00D04695">
              <w:rPr>
                <w:rFonts w:eastAsia="標楷體"/>
                <w:color w:val="000000"/>
              </w:rPr>
              <w:t>萵苣</w:t>
            </w:r>
            <w:r>
              <w:rPr>
                <w:rFonts w:eastAsia="標楷體" w:hint="eastAsia"/>
                <w:color w:val="000000"/>
              </w:rPr>
              <w:t>、</w:t>
            </w:r>
            <w:r w:rsidRPr="00D04695">
              <w:rPr>
                <w:rFonts w:eastAsia="標楷體"/>
                <w:color w:val="000000"/>
              </w:rPr>
              <w:t>小白菜、青江菜、小松菜、油菜及空心菜</w:t>
            </w:r>
            <w:r>
              <w:rPr>
                <w:rFonts w:eastAsia="標楷體" w:hint="eastAsia"/>
                <w:color w:val="000000"/>
              </w:rPr>
              <w:t>等</w:t>
            </w:r>
            <w:r w:rsidRPr="00D04695">
              <w:rPr>
                <w:rFonts w:eastAsia="標楷體"/>
                <w:bCs/>
                <w:color w:val="000000"/>
              </w:rPr>
              <w:t>之實例</w:t>
            </w:r>
            <w:r>
              <w:rPr>
                <w:rFonts w:eastAsia="標楷體" w:hint="eastAsia"/>
                <w:bCs/>
                <w:color w:val="000000"/>
              </w:rPr>
              <w:t>驗證</w:t>
            </w:r>
            <w:r>
              <w:rPr>
                <w:rFonts w:eastAsia="標楷體" w:hint="eastAsia"/>
                <w:color w:val="000000"/>
              </w:rPr>
              <w:t>，可進行更大規模商業量產，</w:t>
            </w:r>
            <w:r w:rsidRPr="00EE5C8E">
              <w:rPr>
                <w:rFonts w:ascii="標楷體" w:eastAsia="標楷體" w:hAnsi="標楷體" w:hint="eastAsia"/>
                <w:color w:val="000000"/>
              </w:rPr>
              <w:t>所栽培生產的低鉀蔬菜可提供給有低鉀飲食需求</w:t>
            </w:r>
            <w:r>
              <w:rPr>
                <w:rFonts w:ascii="標楷體" w:eastAsia="標楷體" w:hAnsi="標楷體" w:hint="eastAsia"/>
                <w:color w:val="000000"/>
              </w:rPr>
              <w:t>消費者另一</w:t>
            </w:r>
            <w:r w:rsidRPr="00050746">
              <w:rPr>
                <w:rFonts w:eastAsia="標楷體"/>
                <w:snapToGrid w:val="0"/>
                <w:color w:val="000000"/>
                <w:kern w:val="0"/>
              </w:rPr>
              <w:t>飲食</w:t>
            </w:r>
            <w:r>
              <w:rPr>
                <w:rFonts w:eastAsia="標楷體" w:hint="eastAsia"/>
              </w:rPr>
              <w:t>控制之選擇</w:t>
            </w:r>
            <w:r w:rsidRPr="00050746">
              <w:rPr>
                <w:rFonts w:eastAsia="標楷體"/>
                <w:snapToGrid w:val="0"/>
                <w:color w:val="000000"/>
                <w:kern w:val="0"/>
              </w:rPr>
              <w:t>。</w:t>
            </w:r>
          </w:p>
        </w:tc>
      </w:tr>
      <w:tr w:rsidR="008A55C0" w:rsidRPr="00162600" w:rsidTr="008775C1">
        <w:trPr>
          <w:trHeight w:val="6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426C0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8A55C0" w:rsidRPr="005D28C0">
              <w:rPr>
                <w:rFonts w:ascii="Lucida Sans" w:eastAsia="標楷體" w:hAnsi="Lucida Sans" w:cs="Lucida Sans" w:hint="eastAsia"/>
                <w:color w:val="000000"/>
              </w:rPr>
              <w:t>植物病理</w:t>
            </w:r>
            <w:r w:rsidR="008A55C0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8A55C0" w:rsidRPr="005D28C0">
              <w:rPr>
                <w:rFonts w:ascii="Lucida Sans" w:eastAsia="標楷體" w:hAnsi="Lucida Sans" w:cs="Lucida Sans" w:hint="eastAsia"/>
                <w:color w:val="000000"/>
              </w:rPr>
              <w:t>系</w:t>
            </w:r>
          </w:p>
          <w:p w:rsidR="008A55C0" w:rsidRPr="00162600" w:rsidRDefault="008A55C0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>
              <w:rPr>
                <w:rFonts w:ascii="Lucida Sans" w:eastAsia="標楷體" w:hAnsi="Lucida Sans" w:cs="Lucida Sans" w:hint="eastAsia"/>
              </w:rPr>
              <w:t>黃姿碧</w:t>
            </w:r>
            <w:r w:rsidRPr="00162600">
              <w:rPr>
                <w:rFonts w:ascii="Lucida Sans" w:eastAsia="標楷體" w:hAnsi="Lucida Sans" w:cs="Lucida Sans"/>
                <w:kern w:val="3"/>
              </w:rPr>
              <w:t>教授</w:t>
            </w:r>
          </w:p>
        </w:tc>
      </w:tr>
      <w:tr w:rsidR="008A55C0" w:rsidRPr="00162600" w:rsidTr="008775C1">
        <w:trPr>
          <w:trHeight w:val="197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D426C0" w:rsidP="008775C1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8A55C0" w:rsidRPr="00660FBE" w:rsidRDefault="008A55C0" w:rsidP="008775C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>
              <w:rPr>
                <w:rFonts w:eastAsia="標楷體" w:hint="eastAsia"/>
                <w:kern w:val="0"/>
              </w:rPr>
              <w:t>農業生技相關業者</w:t>
            </w:r>
          </w:p>
          <w:p w:rsidR="008A55C0" w:rsidRDefault="008A55C0" w:rsidP="008775C1">
            <w:pPr>
              <w:spacing w:line="280" w:lineRule="exact"/>
              <w:ind w:left="360" w:hangingChars="150" w:hanging="360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>
              <w:rPr>
                <w:rFonts w:eastAsia="標楷體" w:hint="eastAsia"/>
                <w:kern w:val="0"/>
              </w:rPr>
              <w:t>農業栽培與病蟲害管理技術</w:t>
            </w:r>
          </w:p>
          <w:p w:rsidR="008A55C0" w:rsidRPr="00660FBE" w:rsidRDefault="008A55C0" w:rsidP="008775C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>
              <w:rPr>
                <w:rFonts w:eastAsia="標楷體" w:hint="eastAsia"/>
                <w:kern w:val="0"/>
              </w:rPr>
              <w:t>溫室設施、自動灌溉系統、離土栽培設施</w:t>
            </w:r>
          </w:p>
          <w:p w:rsidR="008A55C0" w:rsidRPr="00660FBE" w:rsidRDefault="008A55C0" w:rsidP="008775C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>
              <w:rPr>
                <w:rFonts w:eastAsia="標楷體" w:hint="eastAsia"/>
                <w:kern w:val="0"/>
              </w:rPr>
              <w:t>1-3</w:t>
            </w:r>
            <w:r>
              <w:rPr>
                <w:rFonts w:eastAsia="標楷體" w:hint="eastAsia"/>
                <w:kern w:val="0"/>
              </w:rPr>
              <w:t>人</w:t>
            </w:r>
          </w:p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  <w:r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936834">
        <w:trPr>
          <w:trHeight w:val="92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Default="00D426C0" w:rsidP="008775C1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</w:p>
          <w:p w:rsidR="008A55C0" w:rsidRPr="00162600" w:rsidRDefault="008A55C0" w:rsidP="008775C1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 w:hint="eastAsia"/>
                <w:kern w:val="3"/>
              </w:rPr>
              <w:t xml:space="preserve">    </w:t>
            </w:r>
            <w:r w:rsidR="003A7ECA">
              <w:rPr>
                <w:rFonts w:eastAsia="標楷體" w:hint="eastAsia"/>
                <w:kern w:val="0"/>
              </w:rPr>
              <w:t>本技術可用於栽培生產低鉀含量之蔬菜</w:t>
            </w:r>
          </w:p>
        </w:tc>
      </w:tr>
      <w:tr w:rsidR="008A55C0" w:rsidRPr="00162600" w:rsidTr="008775C1">
        <w:trPr>
          <w:trHeight w:val="135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426C0" w:rsidP="008775C1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6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144384">
            <w:pPr>
              <w:suppressAutoHyphens/>
              <w:autoSpaceDN w:val="0"/>
              <w:spacing w:after="240" w:line="32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小姐索取相關資料。</w:t>
            </w:r>
          </w:p>
        </w:tc>
      </w:tr>
      <w:tr w:rsidR="008A55C0" w:rsidRPr="00162600" w:rsidTr="00936834">
        <w:trPr>
          <w:trHeight w:val="210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426C0" w:rsidP="008775C1">
            <w:pPr>
              <w:widowControl/>
              <w:suppressAutoHyphens/>
              <w:autoSpaceDN w:val="0"/>
              <w:spacing w:line="320" w:lineRule="exact"/>
              <w:textAlignment w:val="baseline"/>
              <w:rPr>
                <w:rFonts w:eastAsia="標楷體"/>
                <w:kern w:val="0"/>
              </w:rPr>
            </w:pPr>
            <w:bookmarkStart w:id="3" w:name="_GoBack"/>
            <w:bookmarkEnd w:id="3"/>
            <w:r>
              <w:rPr>
                <w:rFonts w:eastAsia="標楷體" w:hint="eastAsia"/>
                <w:kern w:val="0"/>
                <w:lang w:eastAsia="zh-HK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62600" w:rsidRDefault="008A55C0" w:rsidP="00B17437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8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</w:p>
        </w:tc>
      </w:tr>
    </w:tbl>
    <w:p w:rsidR="000E2376" w:rsidRPr="008A55C0" w:rsidRDefault="000E2376" w:rsidP="00144384"/>
    <w:sectPr w:rsidR="000E2376" w:rsidRPr="008A55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E2376"/>
    <w:rsid w:val="00144384"/>
    <w:rsid w:val="003A7ECA"/>
    <w:rsid w:val="006F0F71"/>
    <w:rsid w:val="007D4799"/>
    <w:rsid w:val="008A55C0"/>
    <w:rsid w:val="00936834"/>
    <w:rsid w:val="00B17437"/>
    <w:rsid w:val="00D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ne3388@nch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40.120.49.189/about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hu.edu.tw/index1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2019-01-17T00:37:00Z</dcterms:created>
  <dcterms:modified xsi:type="dcterms:W3CDTF">2019-01-17T01:38:00Z</dcterms:modified>
</cp:coreProperties>
</file>